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C-7088/2008 vom 29. Oktober 2010</w:t>
      </w:r>
    </w:p>
    <w:p>
      <w:r>
        <w:t>Bundesverwaltungsgericht, 2010-10-29, FR</w:t>
      </w:r>
    </w:p>
    <w:p>
      <w:r>
        <w:rPr>
          <w:b/>
        </w:rPr>
        <w:t xml:space="preserve">Quelle: </w:t>
      </w:r>
      <w:r>
        <w:t>https://mcp.opencaselaw.ch/entscheid/bvger_C-7088_2008</w:t>
      </w:r>
    </w:p>
    <w:p>
      <w:r>
        <w:t>FR: TAF C-7088/2008 du 29 octobre 2010</w:t>
      </w:r>
    </w:p>
    <w:p>
      <w:r>
        <w:t>IT: TAF C-7088/2008 del 29 ottobre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Par conséquent, le droit à la rente s'examine pour la période s'étendant jusqu'au 31 décembre 2007 à la lumière des anciennes normes et, à partir de ce moment-là, des nouvelles.</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1 LAI [art. 28 al. 2 LAI dès le 1er janvier 2008]).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28 al. 1ter LAI [art. 29 al. 4 LAI à partir du 1er janvier 2008]).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l'Union européenne.</w:t>
      </w:r>
    </w:p>
    <w:p>
      <w:r>
        <w:rPr>
          <w:b/>
        </w:rPr>
        <w:t>E. 6.1</w:t>
      </w:r>
    </w:p>
    <w:p>
      <w:r>
        <w:t>Selon l'art. 17 al. 1 LPGA, si le taux d'invalidité du bénéficiaire de la rente subit une modification notable, la rente est, d'office ou sur demande, révisée pour l'avenir, à savoir augmentée ou réduite en conséquence, ou encore supprimée. Le deuxième alinéa de la même disposition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6.2</w:t>
      </w:r>
    </w:p>
    <w:p>
      <w:r>
        <w:t>L'art. 88a al. 2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En l'occurrence, le recourant, par décision du 5 février 2004, a bénéficié d'une rente entière d'invalidité à compter du 1er mars 2003. La question de savoir si le degré d'invalidité a subi depuis lors une modification doit donc être jugée en comparant les faits tels qu'ils se présentaient à l'époque de la décision du 5 février 2004, date de la décision octroyant le droit à la rente, et ceux qui ont existé jusqu'au 14 octobre 2008, date de la décision litigieuse.</w:t>
      </w:r>
    </w:p>
    <w:p>
      <w:r>
        <w:rPr>
          <w:b/>
        </w:rPr>
        <w:t>E. 8.1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w:t>
      </w:r>
    </w:p>
    <w:p>
      <w:r>
        <w:rPr>
          <w:b/>
        </w:rPr>
        <w:t>E. 8.2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(ATF 125 V 352 consid. 3a et réf. cit.).</w:t>
      </w:r>
    </w:p>
    <w:p>
      <w:r>
        <w:rPr>
          <w:b/>
        </w:rPr>
        <w:t>E. 9.1</w:t>
      </w:r>
    </w:p>
    <w:p>
      <w:r>
        <w:t>En l'espèce, en février 2004, le droit à la rente entière d'invalidité, avec effet au 1er mars 2003, avait été reconnu au recourant en raison d'un traumatisme crânio-cérébral moyen avec contusion fronto-basale droite et fissure du toit de l'orbite droite, un état dépressif réactionnel, un status après entorse de la cheville gauche traitée conservativement en mai 2001, de l'astigmatisme et de la myopie bilatérale, des troubles attentionnels et mnésiques (pces 117 à 133).</w:t>
      </w:r>
    </w:p>
    <w:p>
      <w:r>
        <w:rPr>
          <w:b/>
        </w:rPr>
        <w:t>E. 9.2</w:t>
      </w:r>
    </w:p>
    <w:p>
      <w:r>
        <w:t>Lors de la procédure de révision initiée en août 2005, la Prof. I._______ a relevé une amélioration dans les domaines de la mémoire et des gnosies visuelles, mais a retenu une persistance du ralentissement et des troubles attentionnels. Toutefois, alors que dans son rapport médical du 7 octobre 2003, elle retenait une incapacité de travail de 100% dès le 4 mars 2002 (pce 124), lors de la procédure de révision elle note que les pathologies décrites permettent d'estimer l'atteinte à l'intégrité comme moyenne, soit de 50% (pce 46). Le Dr L._______, quant à lui, mentionne que d'un point de vue strictement neurologique, il n'y a pas d'incapacité de travail, et vraisemblablement pas non plus du point de vue ophtalmologique. Il relève que le recourant pourrait travailler à temps partiel, soit à 50%, dans une activité adaptée à son handicap mnésique et ses troubles attentionnels, soit une activité ne nécessitant pas un engagement intellectuel important (pce 47 pp. 2 à 5). Cet avis est partagé par les Drs N._______ et O._______, qui, dans leur expertise psychiatrique effectuée le 22 novembre 2007, n'ont retenu, comme diagnostic avec répercussion sur la capacité de travail, qu'un syndrome post-commotionnel. Si les experts ont conclu à une capacité de travail nulle en tant que manoeuvre, ils ont souligné que, du point de vue psychiatrique et neuropsychologique, la capacité de travail était exigible à raison de 50% dans une activité adaptée (pce 19). L'expertise effectuée par ces deux médecins et les certificats médicaux susmentionnés reposent par ailleurs sur une étude complète et circonstanciée de la situation médicale de l'assuré, ne contiennent pas d'incohérence et aboutissent à des conclusions claires et motivées. Il n'y a, partant, aucune raison de ne pas y accorder foi. Sur le plan somatique, la Prof. I._______ note encore une amélioration dans le domaine des gnosies visuelles. Quant à l'entorse constatée en octobre 2002, elle a fait l'objet d'un traitement conservateur et n'apparaît par ailleurs dans plus aucun certificat médical. Il y a donc lieu de constater que depuis l'examen neuropsychologique de la Prof. I._______ pratiquée en 2004, l'état de santé de l'intéressé s'est amélioré au point de lui permettre, selon les médecins consultés, de trouver une capacité de travail de 50% dans une activité adaptée. Tel est également la conclusion à laquelle arrive le Dr K._______, du SMR Suisse romande (pce 18).</w:t>
      </w:r>
    </w:p>
    <w:p>
      <w:r>
        <w:rPr>
          <w:b/>
        </w:rPr>
        <w:t>E. 9.3</w:t>
      </w:r>
    </w:p>
    <w:p>
      <w:r>
        <w:t>Eu égard à ce qui précède, le Tribunal administratif fédéral considère ainsi que le recourant conserve une capacité de travail résiduelle de 50% dans une activité de substitution adaptée à son état de santé.</w:t>
      </w:r>
    </w:p>
    <w:p>
      <w:r>
        <w:rPr>
          <w:b/>
        </w:rPr>
        <w:t>E. 9.4</w:t>
      </w:r>
    </w:p>
    <w:p>
      <w:r>
        <w:t>La conclusion tendant à la mise en oeuvre d'une nouvelle expertise doit être rejetée, le dossier étant, comme on l'a vu, suffisamment étayé pour permettre à l'autorité de céans de statuer.</w:t>
      </w:r>
    </w:p>
    <w:p>
      <w:r>
        <w:rPr>
          <w:b/>
        </w:rPr>
        <w:t>E. 10.1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w:t>
      </w:r>
    </w:p>
    <w:p>
      <w:r>
        <w:rPr>
          <w:b/>
        </w:rPr>
        <w:t>E. 10.2.1</w:t>
      </w:r>
    </w:p>
    <w:p>
      <w:r>
        <w:t>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publiées par l'Office fédéral de la statistique (ATF 126 V 75 consid. 3b/aa et bb). En l'espèce, le recourant a cessé son activité en 2002 à cause d'un accident. Pour définir le salaire avant invalidité, il faut se référer aux revenus concrètement perçus par l'intéressé en 2002 indexés jusqu'à 2008, à savoir au jour de la décision attaquée. On ne peut dès lors confirmer le calcul de l'OAIE (pce 10) qui s'est basé sur le salaire qu'aurait perçu l'assuré en 2004.</w:t>
      </w:r>
    </w:p>
    <w:p>
      <w:r>
        <w:rPr>
          <w:b/>
        </w:rPr>
        <w:t>E. 10.2.2</w:t>
      </w:r>
    </w:p>
    <w:p>
      <w:r>
        <w:t>Il ressort des dossiers de la cause que le recourant percevait (ou aurait dû percevoir) en 2002 un salaire annuel de Fr. 49'423.-- (pce 30 p. 3). Indexé à 2008 (Fr. 49'423.-- x 2092 / 1933; cf. Evolution des salaires nominaux, des prix à la consommation et des salaires réels de l'Office fédéral de la statistique [OFS]), le revenu annuel sans invalidité s'établit à Fr. 53'488.31. Selon la jurisprudence du Tribunal fédéral, lorsqu'un assuré a réalisé un revenu sans invalidité nettement inférieur au salaire statistique usuel de la branche en raison de facteurs étrangers à l'invalidité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(loc. cit. consid. 6.1.3).</w:t>
      </w:r>
    </w:p>
    <w:p>
      <w:r>
        <w:rPr>
          <w:b/>
        </w:rPr>
        <w:t>E. 10.2.3</w:t>
      </w:r>
    </w:p>
    <w:p>
      <w:r>
        <w:t>En se référant au Tableau TA1 relatif aux salaires bruts standardisés de l'ESS 2008 de l'OFS, valeur dans le domaine production et services (homme, niveau de qualification 4), on retient pour le recourant un revenu statistique mensuel moyen de Fr. 4'939.50.-, à savoir annuellement Fr. 59'274.-- (Fr. 4'939.50.- x 12). Cette donnée, calculée sur 40 heures/semaine doit être adaptée au nombre d'heures hebdomadaires effectuées en moyenne en 2008 dans ces secteurs (41.5 h/sem., La Vie économique 12-2008, B 9.2), soit Fr. 61'496.77. Il apparaît donc qu'en l'espèce, le recourant réalisait, en exerçant son activité lucrative habituelle, un revenu représentant le 86.97% (Fr. 53'488.31 x 100 / Fr. 61'496.77) du salaire usuel de la branche. Dans la mesure où le salaire effectivement obtenu est nettement inférieur (13.03%) au sens de la jurisprudence du Tribunal fédéral et que les autres conditions sont réalisées en l'espèce, il convient d'effectuer un parallélisme des revenus à comparer. La valeur statistique du revenu d'invalide sera donc réduite de 8.03% (13.03% - 5%).</w:t>
      </w:r>
    </w:p>
    <w:p>
      <w:r>
        <w:rPr>
          <w:b/>
        </w:rPr>
        <w:t>E. 10.3</w:t>
      </w:r>
    </w:p>
    <w:p>
      <w:r>
        <w:t>Les activités de substitution entrant en ligne de compte (cf. notamment pces 81 à 90) doivent être classées dans les activités légères comparables à des activités simples et répétitives, pour un homme, de niveau de qualification 4, selon le Tableau TA1, toutes branches confondues (revenu mensuel selon l'ESS 2008: Fr. 4'806.-, à savoir annuellement Fr. 57'672.-). Adapté au nombre d'heures hebdomadaires effectuées en moyenne en 2008 (41.6 h/sem., La Vie économique 12-2008, B 9.2), le revenu théorique annuel d'une activité de substitution à 100% doit être porté à Fr. 59'978.90, ce qui correspond, pour une activité à 50% (cf. 9.3), à Fr. 29'989.45. Comme on l'a vu, en raison du parallélisme des revenus et de l'incapacité de travail dans les activités de substitution, ce salaire théorique doit être réduit de 8.03% (cf supra 10.2.3), de sorte que le salaire annuel d'invalide s'établit à Fr. 27'581.29. Compte tenu de l'âge de l'assuré au jour de la décision querellée (43 ans), de son handicap et du fait qu'il ne peut reprendre que partiellement l'exercice d'une activité lucrative, le Tribunal de céans considère que le taux de réduction du salaire d'invalide retenu par l'autorité inférieure de 5% est particulièrement bas. Bien que celle-ci dispose en la matière d'un large pouvoir d'appréciation, il convient néanmoins d'appliquer, compte tenu des circonstances, un taux de réduction du salaire d'invalide de 10%, attendu que le maximum admis par la jurisprudence est de 25% (ATF 126 V 75). Son revenu annuel d'invalide est dès lors de Fr. 24'823.16.</w:t>
      </w:r>
    </w:p>
    <w:p>
      <w:r>
        <w:rPr>
          <w:b/>
        </w:rPr>
        <w:t>E. 10.4</w:t>
      </w:r>
    </w:p>
    <w:p>
      <w:r>
        <w:t>La comparaison du revenu sans invalidité de Fr. 53'488.31 au revenu d'invalide de Fr. 24'823.16 fait apparaître un préjudice économique de 53.59%, taux d'invalidité correspondant à une demi-rente. A noter que si l'on avait appliqué le taux d'abattement de 5% retenu par l'OAIE, le préjudice économique aurait été de 51.01% (revenu d'invalide de Fr. 26'202.22), soit un taux permettant également d'ouvrir le droit à une demi-rente d'invalidité.</w:t>
      </w:r>
    </w:p>
    <w:p>
      <w:r>
        <w:rPr>
          <w:b/>
        </w:rPr>
        <w:t>E. 11</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Jurisprudence et pratique administrative des autorités d'exécution de l'AVS/AI (VSI) 1999 p. 247 consid. 1, 1998 p. 296 consid. 3b). Le recours doit par conséquent être partiellement admis et la décision du 14 octobre 2008 de l'autorité inférieure réformée, en ce sens que l'intéressé a droit à une demi-rente d'invalidité à compter du 1er décembre 2008.</w:t>
      </w:r>
    </w:p>
    <w:p>
      <w:r>
        <w:rPr>
          <w:b/>
        </w:rPr>
        <w:t>E. 12.1</w:t>
      </w:r>
    </w:p>
    <w:p>
      <w:r>
        <w:t>Vu l'issue de la procédure, il n'est pas perçu de frais de procédure.</w:t>
      </w:r>
    </w:p>
    <w:p>
      <w:r>
        <w:rPr>
          <w:b/>
        </w:rPr>
        <w:t>E. 12.2</w:t>
      </w:r>
    </w:p>
    <w:p>
      <w:r>
        <w:t>L'art. 7 al. 1er du règlement du 21 février 2008 concernant les frais, dépens et indemnités fixés par le Tribunal administratif fédéral (FITAF, RS 173.320.2) permet au Tribunal d'allouer à la partie ayant obtenu gain de cause une indemnité pour les frais nécessaires causés par le litige. En l'espèce, le recourant, qui n'est pas représenté, n'a pas fait valoir de frais indispensables et relativement élevés, de sorte qu'il ne lui est pas attribué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