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C-7085/2008 vom 20. März 2009</w:t>
      </w:r>
    </w:p>
    <w:p>
      <w:r>
        <w:t>Bundesverwaltungsgericht, 2009-03-20, DE</w:t>
      </w:r>
    </w:p>
    <w:p>
      <w:r>
        <w:rPr>
          <w:b/>
        </w:rPr>
        <w:t xml:space="preserve">Quelle: </w:t>
      </w:r>
      <w:r>
        <w:t>https://mcp.opencaselaw.ch/entscheid/bvger_C-7085_2008</w:t>
      </w:r>
    </w:p>
    <w:p>
      <w:r>
        <w:t>FR: TAF C-7085/2008 du 20 mars 2009</w:t>
      </w:r>
    </w:p>
    <w:p>
      <w:r>
        <w:t>IT: TAF C-7085/2008 del 20 marzo 2009</w:t>
      </w:r>
    </w:p>
    <w:p>
      <w:pPr>
        <w:pStyle w:val="Heading2"/>
      </w:pPr>
      <w:r>
        <w:t>Regeste</w:t>
      </w:r>
    </w:p>
    <w:p>
      <w:r>
        <w:t>Sozialhilfe an Auslandschweizer</w:t>
      </w:r>
    </w:p>
    <w:p>
      <w:pPr>
        <w:pStyle w:val="Heading2"/>
      </w:pPr>
      <w:r>
        <w:t>Erwägungen</w:t>
      </w:r>
    </w:p>
    <w:p>
      <w:r>
        <w:rPr>
          <w:b/>
        </w:rPr>
        <w:t>E. 1.1</w:t>
      </w:r>
    </w:p>
    <w:p>
      <w:r>
        <w:t>Verfügungen des BJ gemäss Art. 14 Abs. 1 und 4 ASFG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Die Beschwerdeführer sind als Verfügungsbetroffene zur Beschwerdeführung legitimiert (Art. 48 Abs. 1 VwVG). Auf die frist- und formgerecht eingereichte Beschwerde ist einzutreten, soweit sie sich gegen die Verfügung des BJ vom 6. Oktober 2008 richtet (Art. 49 ff. VwVG). Nicht Verfahrensgegenstand bildet demgegenüber die Rechtmässigkeit der von der IV-Stelle Zürich verfügten Rückforderung (vgl. oben Sachverhalt Bst. A). Ebenfalls in einem separaten Verfahren zu befinden war über das Gesuch der Beschwerdeführerin um Leistungen der schweizerischen Invalidenversicherung (siehe hierzu das Urteil des Bundesverwaltungsgerichts C-3204/2008 vom 27. November 2008, welches durch den Nichteintretensentscheid des Bundesgericht [Urteil 9C_22/2009 vom 6. Februar 2009] inzwischen in Rechtskraft erwachsen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3.1</w:t>
      </w:r>
    </w:p>
    <w:p>
      <w:r>
        <w:t>Gemäss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 In dringenden Fällen kann die Schweizerische Vertretung die unumgängliche Überbrückungshilfe gewähren (Art. 14 Abs. 2 ASFG).</w:t>
      </w:r>
    </w:p>
    <w:p>
      <w:r>
        <w:rPr>
          <w:b/>
        </w:rPr>
        <w:t>E. 3.2</w:t>
      </w:r>
    </w:p>
    <w:p>
      <w:r>
        <w:t>Nach Art. 11 Abs. 1 ASFG kann Hilfsbedürftigen die Heimkehr in die Schweiz nahe gelegt werden, wenn dies in ihrem wohlverstandenen Interesse oder dem ihrer Familie liegt. In diesem Fall übernimmt der Bund anstelle der Unterstützung im Ausland die Heimreisekosten. Ob die Heimkehr im wohlverstandenen Interesse der Betroffenen liegt, ist nach fürsorgerischen Grundsätzen zu beurteilen. Finanzielle Erwägungen sollen nicht ausschlaggebend sein (Art. 14 Abs. 1 ASFV). Von der Nahelegung einer Heimkehr ist laut Art. 14 Abs. 2 ASFV namentlich dann abzusehen, wenn Menschlichkeitsgründe dagegen sprechen, insbesondere wenn enge Familienbande zerrissen oder aus einem Aufenthalt von längerer Dauer sich ergebende enge Beziehungen zum Aufenthaltsstaat zerstört würden, wenn die Hilfsbedürftigkeit bloss von kurzer Dauer ist oder solange der Hilfsbedürftige oder einer seiner Familienangehörigen transportunfähig ist.</w:t>
      </w:r>
    </w:p>
    <w:p>
      <w:r>
        <w:rPr>
          <w:b/>
        </w:rPr>
        <w:t>E. 3.3</w:t>
      </w:r>
    </w:p>
    <w:p>
      <w:r>
        <w:t>Das Bundesgericht und das Bundesverwaltungsgericht gehen in ihrer Rechtsprechung davon aus, dass die dauernde Unterstützung vor Ort grundsätzlich nur denjenigen Auslandschweizerinnen und Auslandschweizern zugute kommen soll, die im Ausland eine Existenz aufgebaut haben, dort weitgehend integriert sind und nachträglich in eine finanzielle Notlage geraten. Dagegen können in der Regel keine Leistungen beansprucht werden, um eine Existenz im Ausland erst aufzubauen und unternehmerische Risiken abzudecken; dies wäre mit der Natur des Gesetzes als eigentlichem Fürsorgeerlass nicht vereinbar. Damit ist es grundsätzlich zulässig, einem vor kürzerer Zeit Ausgereisten, der im Auswanderungsland wirtschaftlich nicht Fuss fassen kann und voraussichtlich auf lange Sicht unterstützungsbedürftig bleiben dürfte, die Rückreise nahezulegen (und die Übernahme der Rückreisekosten zu garantieren) bzw. die Erbringung von Leistungen ins Ausland zu verweigern, wenn keine besonderen Gründe im Sinne von Art. 14 Abs. 2 ASFV vorliegen (vgl. insbes. Urteil des Bundesgerichts 2A.654/2005 vom 9. Dezember 2005 E. 2.1 mit Hinweisen oder Urteile des Bundesverwaltungsgerichts C-696/2008 vom 28. Oktober 2008 E. 4.3, C-3313/2007 vom 22. Februar 2008 E. 4.3 und C-5993/2007 vom 29. Januar 2008 E. 5.2).</w:t>
      </w:r>
    </w:p>
    <w:p>
      <w:r>
        <w:rPr>
          <w:b/>
        </w:rPr>
        <w:t>E. 4</w:t>
      </w:r>
    </w:p>
    <w:p>
      <w:r>
        <w:t>Unter den Parteien ist strittig, ob den Beschwerdeführern, die aufgrund des vorgelegten Budgets im heutigen Zeitpunkt als bedürftig im Sinne von Art 1 und 5 ASFG zu betrachten sind, gestützt auf Art. 11 Abs. 1 ASFG in Verbindung mit Art. 14 ASFV die Heimkehr in die Schweiz nahe gelegt und ihnen aus diesem Grund eine dauernde Unterstützung in Indien verweigert werden kann.</w:t>
      </w:r>
    </w:p>
    <w:p>
      <w:r>
        <w:rPr>
          <w:b/>
        </w:rPr>
        <w:t>E. 4.1</w:t>
      </w:r>
    </w:p>
    <w:p>
      <w:r>
        <w:t>Aus den Akten geht hervor, dass die Beschwerdeführer anfangs Januar 2005 nach Indien auswanderten. Die Praxis geht im Sinne eines flexiblen Richtwertes davon aus, dass während der ersten fünf Jahre eines Aufenthalts den Betroffenen in der Regel die Rückkehr zu empfehlen ist (vgl. dazu Urteile des Bundesverwaltungsgerichts C-696/2008 vom 28. Oktober 2008 E. 6.2 und C-5993/2007 vom 29. Januar 2008 E. 5.3, ferner Ziff. 3.6.3 der seit dem 1. Mai 2008 gültigen Richtlinien der Sozialhilfe für Auslandschweizerinnen und Auslandschweizer [Quelle: www.bj.admin.ch/bj/de/home/themen/migration/sas/auslandschweizer]). Eine solche Situation liegt auch bei den Beschwerdeführern vor, die erst seit etwas mehr als vier Jahren ununterbrochen in Indien weilen. Im Einspracheverfahren vor der IV-Stelle Zürich wurde sogar geltend gemacht, die Anmeldung in der Wahlheimat sei erst im November 2005 erfolgt (siehe Urteil des Bundesverwaltungsgerichts C-3204/2008 vom 27. November 2008 Sachverhalt Bst. C). Kommt hinzu, dass diese Aufenthaltsdauer nicht nur für sich genommen, sondern ebenfalls im Vergleich zum Alter der Gesuch stellenden Personen als kurz erscheint. Dies gilt im Besonderen für die Beschwerdeführerin, die sich erst im Alter von 55 Jahren zur Emigration entschloss und damit den weitaus grössten Teil ihres Lebens in der Schweiz verbrachte. Aber auch ihr indisch-stämmiger Gatte, den sie 1989 in Zürich geheiratet hatte und welcher im Besitze des Schweizer Bürgerrechts ist, hat einige Zeit hierzulande gelebt. Vor diesem Hintergrund kann eine Unterstützung vor Ort kaum im Vordergrund stehen.</w:t>
      </w:r>
    </w:p>
    <w:p>
      <w:r>
        <w:rPr>
          <w:b/>
        </w:rPr>
        <w:t>E. 4.2</w:t>
      </w:r>
    </w:p>
    <w:p>
      <w:r>
        <w:t>Gegen die Erbringung periodischer Leistungen ins Ausland sprechen ferner die denkbar ungünstigen beruflichen und wirtschaftlichen Perspektiven. Als die Eheleute im Januar 2005 nach Indien aufbrachen, bestanden ihre Haupteinkünfte aus Renten der Invalidenversicherung (siehe dazu die Ausführungen im Begleitschreiben vom 31. August 2008 zum Unterstützungsgesuch). Wegen Kniebeschwerden war der Beschwerdeführerin mit Verfügung vom 19. März 2004 rückwirkend ab 1. November 2003, bei einem Invaliditätsgrad von 43 %, eine Viertelsrente zugesprochen worden. Der Beschwerdeführer seinerseits bezog gemäss Angaben der Betroffenen damals eine ganze Rente; Invaliditätsgrad, Dauer und Gründe der Invalidität sind in seinem Fall nicht aktenkundig. Es ist unbestritten, dass es den Beschwerdeführern in den vier Jahren seit ihrer Emigration nach Indien nicht gelungen ist, die für eine selbständige finanzielle Existenz notwendigen Grundlagen zu schaffen. Vielmehr haben sie vor allem von den IV-Renten und nicht näher spezifizierten Vermögenswerten gezehrt. Letztere Reserven sind nun anscheinend aufgebraucht. In ihrem jetzigen Aufenthaltsstaat sind die beiden zudem bislang keiner Erwerbstätigkeit nachgegangen; die Beschwerdeführerin nicht, weil es für sie laut Darstellung in der Beschwerde vom 30. Oktober 2008 sehr schwer ist, ohne Kenntnisse der lokalen Sprache (Hindi) eine Teilzeitarbeit zu finden, der Beschwerdeführer nicht, da er zu 100 % arbeitsunfähig ist. Auch mit Blick auf die Ersatzeinkommen sind keine konkreten Anhaltspunkte für eine Besserung erkennbar. Im Gegenteil wurden die fraglichen Renten bekanntlich gekürzt bzw. sie werden, soweit die Viertelsrente betreffend, nicht ins Ausland ausbezahlt. Beim momentanen Invaliditätsgrad der Beschwerdeführerin (laut dem kürzlich rechtskräftig gewordenen Urteil des Bundesverwaltungsgerichts C-3204/2008 vom 27. November 2008 beträgt der Invaliditätsgrad 46 %, was bei einem Wohnsitz in der Schweiz unverändert einen Anspruch auf eine Viertelsrente vermittelte) dürfte sich dies vorderhand nicht ändern. Ähnlich verhält es sich mit den vermögens- bzw. erbschaftsrechtlichen Streitigkeiten in Indien, die sich schon über Jahre hinweg ziehen und deren Ausgang höchst ungewiss erscheint. Der Beschwerdeführer soll überdies gesundheitlich schwer angeschlagen sein, was die wirtschaftliche Eingliederung zusätzlich erschweren dürfte. Sonstige Alternativen kristallisieren sich bei den Eheleuten im Gaststaat nicht heraus. Die bestehende Aktenlage berechtigt demnach ohne weiteres zum Schluss, die Beschwerdeführer hätten dort keine intakten wirtschaftlichen Perspektiven und die Hilfsbedürftigkeit werde aller Voraussicht nach nicht bloss von kurzer Dauer sein.</w:t>
      </w:r>
    </w:p>
    <w:p>
      <w:r>
        <w:rPr>
          <w:b/>
        </w:rPr>
        <w:t>E. 4.3</w:t>
      </w:r>
    </w:p>
    <w:p>
      <w:r>
        <w:t>Des Weiteren muss eine Rückkehr auch unter fürsorgerischen Gesichtspunkten als zweckmässig und wünschbar betrachtet werden. Dass die Rahmenbedingungen sich hinsichtlich Sozialversicherungen, Sozialhilfe und Arbeitsvermittlung in der Schweiz günstiger präsentierten, wird auf Beschwerdeebene nicht in Abrede gestellt. Insbesondere hätte die Beschwerdeführerin bei einer Rückkehr, wie bereits angetönt, wieder Anspruch auf eine Viertelsrente der Invalidenversicherung (zu den Gründen, warum eine Viertelsrente in Indien wohnhaften Versicherten nicht ausbezahlt wird, siehe wiederum das Urteil des Bundesverwaltungsgerichts C-3204/2008 vom 27. November 2008 E. 3.1 und 6). Unter den dargelegten Begebenheiten wäre die Existenz der Eheleute hierzulande mithin eher gesichert. Die Beschwerdeführer bezeichnen Indien als neuen Lebensmittelpunkt, eine überdurchschnittliche Integration liegt indessen nicht vor. So deuten die bisher eingereichten Eingaben auf ein eher gespanntes oder gar zerrüttetes Verhältnis zu einem Teil der dort ansässigen Verwandten und Bekannten hin. In der Beschwerdeschrift vom 30. Oktober 2008 ist ferner davon die Rede, dass es sehr schwer sei Arbeit zu finden, wenn man nicht Hindi spreche. Zwar versucht die Beschwerdeführerin in der Replik vom 28. Januar 2009, ihre früheren Äusserungen zu den Spannungen mit Verwandten und den Sprachkenntnissen zu relativieren. Dieser plötzliche Wechsel in der Darstellung besagter Aspekte überzeugt in der vorgebrachten Art jedoch nicht. Vielmehr scheint sich die Integration der Beschwerdeführerin im Rahmen des Üblichen zu bewegen. Der Auffassung der Vorinstanz ist jedenfalls darin zu folgen, dass diesbezüglich nicht von derart engen Bindungen auszugehen ist, dass ihr eine Rückkehr nicht nahegelegt werden dürfte. Aber auch auf Seiten des Beschwerdeführers sind keine Menschlichkeitsgründe im Sinne von Art. 14 Abs. 2 ASFV ersichtlich, die gegen einen Abbruch des Daueraufenthalts in Indien sprechen würden. Wohl stammt er ursprünglich aus diesem Land, aber in Anbetracht des Umstandes, dass er mit seiner jetzigen Frau etliche Jahre in der Schweiz gewohnt und das Schweizer Bürgerrecht hat, ist ihm eine Rückkehr zuzumuten (vgl. dazu Urteile des Bundesverwaltungsgerichts C-5993/2007 vom 29. Januar 2008 E. 5.5 oder C-4496/2007 vom 20. Dezember 2007 E. 5.2). Damit soll nicht zum Ausdruck gebracht werden, dass ein Umzug der Beschwerdeführer in die Schweiz keinen schmerzlichen Eingriff in ihre Lebensplanung darstellen würde. Es gilt aber zu bedenken, dass es nur schon aus Rechtsgleichheitsgründen und präjudiziellen Überlegungen nicht einfach dem Belieben oder der freien Disposition von Sozialhilfeempfängerinnen und -empfängern anheimgestellt werden kann, sich in einem Land freier Wahl unterstützen zu lassen (Urteile des Bundesverwaltungsgerichts C-696/2008 vom 28. Oktober 2008 E. 6.2 und C-2312/2007 vom 29. Februar 2008 E. 5.7); dies gilt erst recht, wenn Personen (wie in casu) voraussichtlich auf lange Sicht unterstützungsbedürftig bleiben werden. Die Kosten einer Unterstützung im Auswanderungsland im Vergleich mit denjenigen einer Unterstützung in der Schweiz sind dabei nicht massgeblich (vgl. Art. 14 Abs. 1 Satz 2 ASFV).</w:t>
      </w:r>
    </w:p>
    <w:p>
      <w:r>
        <w:rPr>
          <w:b/>
        </w:rPr>
        <w:t>E. 4.4</w:t>
      </w:r>
    </w:p>
    <w:p>
      <w:r>
        <w:t>Aufgrund der vorstehenden Erwägungen durfte die Vorinstanz zu Recht annehmen, die Heimkehr der Beschwerdeführer liege in deren wohlverstandenem Interesse.</w:t>
      </w:r>
    </w:p>
    <w:p>
      <w:r>
        <w:rPr>
          <w:b/>
        </w:rPr>
        <w:t>E. 5</w:t>
      </w:r>
    </w:p>
    <w:p>
      <w:r>
        <w:t>Demnach gelangt das Bundesverwaltungsgericht zum Schluss, dass die angefochtene Verfügung Bundesrecht nicht verletzt. Der rechtserhebliche Sachverhalt wurde richtig und vollständig festgestellt und die Vorinstanz hat auch ihr Ermessen pflichtgemäss ausgeübt (vgl. Art. 49 VwVG). Die Beschwerde ist daher abzuweisen.</w:t>
      </w:r>
    </w:p>
    <w:p>
      <w:r>
        <w:rPr>
          <w:b/>
        </w:rPr>
        <w:t>E. 6</w:t>
      </w:r>
    </w:p>
    <w:p>
      <w:r>
        <w:t>Bei diesem Ausgang des Verfahrens würden die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