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C-707/2012 vom 16. November 2012</w:t>
      </w:r>
    </w:p>
    <w:p>
      <w:r>
        <w:t>Bundesverwaltungsgericht, 2012-11-16, DE</w:t>
      </w:r>
    </w:p>
    <w:p>
      <w:r>
        <w:rPr>
          <w:b/>
        </w:rPr>
        <w:t xml:space="preserve">Quelle: </w:t>
      </w:r>
      <w:r>
        <w:t>https://mcp.opencaselaw.ch/entscheid/bvger_C-707_2012</w:t>
      </w:r>
    </w:p>
    <w:p>
      <w:r>
        <w:t>FR: TAF C-707/2012 du 16 novembre 2012</w:t>
      </w:r>
    </w:p>
    <w:p>
      <w:r>
        <w:t>IT: TAF C-707/2012 del 16 novembre 2012</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u.a. Verfügungen bzw. Einspracheentscheide des BFM, mit denen die Ertei­lung eines Schengenvisums zu Besuchszwecken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 eingereichte Be­schwerde ist einzu­treten (Art. 50 und 52 VwVG). 2.Mit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BVGE 2011/1 E. 2, BVGE 2007/41 E. 2 und Urteil des BVGer A-2682/2007 vom 7. Oktober 2010 E. 1.2 und 1.3). 3.In formeller Hinsicht rügt der Beschwerdeführer vorab, die angefochtene Verfügung sei nicht begründet worden. Die Vorinstanz habe sich ohne Gründe auf eine Zuwanderung aus der Herkunftsregion des Gesuchstellers berufen. Des Weiteren habe sie sich lediglich auf die persönliche Situation des Gesuchstellers gestützt und angegeben, dieser würde nicht in einem festen Arbeitsverhältnis stehen. Bei seinem Antrag auf Erteilung eines Schengen-Visums habe der Gesuchsteller jedoch angegeben, er sei Landwirt. Der Beschwerdeführer selbst habe zudem angegeben, der Eingeladene sei Verkäufer von Autooccasionen. Die Vorinstanz hätte somit darlegen müssen, warum sie diese beiden Tätigkeiten nicht als besondere berufliche Verpflichtung betrachtet. 3.1 Der in Art. 29 Abs. 2 der Bundesverfassung der Schweizerischen Eidgenossenschaft vom 18. April 1999 (BV, SR 101) garantierte und in Art. 29 ff. VwVG für das Bundesverwaltungsverfahren konkretisierte Grundsatz des rechtlichen Gehörs umfasst unter anderem die Pflicht der Behörde, ihre Verfügung zu begründen (vgl. Art. 35 Abs. 1 VwVG sowie BVGE 2007/21 E. 10.2 mit Hinweisen). Die Begründungspflicht der Behörden soll verhindern, dass diese sich von unsachlichen Motiven leiten lassen. Die Begründung muss so abgefasst sein, dass der Betroffene die Verfügung sachgerecht anfechten kann. Dies ist nur möglich, wenn sowohl er wie auch die Rechtsmittelinstanz sich über die Tragweite des Entscheides ein Bild machen können. In diesem Sinne müssen wenigstens kurz die Überlegungen genannt werden, von denen sich die Behörde leiten liess und auf welche sie ihren Entscheid stützt. Das bedeutet indessen nicht, dass sie sich ausdrücklich mit jeder tatbeständlichen Behauptung und jedem rechtlichen Einwand auseinandersetzen müsste. Vielmehr kann sie sich auf die für den Entscheid wesentlichen Gesichtspunkte beschränken (BGE 136 I 184 E. 2.2.1 S. 188 mit weiteren Hinweisen; vgl. auch BVGE 2010/35 E. 4.1.2 mit Hinweisen, sowie Lorenz Kneubühler, in: Christoph Auer/Markus Müller/Benjamin Schindler [Hrsg.], Kommentar zum Bundesgesetz über das Verwaltungsverfahren [VwVG], Zürich/St. Gallen 2008, Rz. 4 ff. und insb. 9 ff. zu Art. 35 VwVG). 3.2 Die Begründung der angefochtenen Verfügung ist wohl knapp ausgefallen. Dennoch geht daraus ohne weiteres hervor, aus welchen Gründen die Vorinstanz die Abweisung der Einsprache für angezeigt erachtete. Der Beschwerdeführer hat die berufliche Tätigkeit des Gesuchstellers im Einspracheverfahren nicht belegt. Somit durfte die Vorinstanz durchaus davon ausgehen, dass die Tätigkeiten des Gesuchstellers als Landwirt und Autooccasionsverkäufer nicht gefestigt sind, zumal auch keine näheren Angaben darüber gemacht wurden. In der Folge war der Beschwerdeführer durchaus in der Lage, die Verfügung sachgerecht anzufechten. Insoweit liegt keine Verletzung des rechtlichen Gehörsanspruchs vor (vgl. dazu auch Urteil des Bundesverwaltungsgerichts C-785/2010 vom 9. Dezember 2010 E. 4.2). Soweit aber in den Rügen sonstige Rechtsverletzungen gemäss Art. 49 Bst. a und b VwVG geltend gemacht werden, ist darauf weiter unten einzugehen. 4.Der angefochtenen Verfügung liegt das Gesuch eines türkischen Staatsangehörigen um Erteilung eines Visums für einen knapp dreimonatigen Aufenthalt in der Schweiz zugrunde. Da sich der Gesuchsteller nicht auf die EU/EFTA-Personenfreizügigkeitsabkommen berufen kann und die beabsichtigte Aufenthaltsdauer drei Monate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vom 16. De­zember 2005 (AuG, SR 142.20) und seine Ausführungsverordnung gelangen nur soweit zur Anwendung, als die Schengen-Assoziierungs­abkommen keine abweichenden Bestimmungen enthalten (Art. 2 Abs. 2 bis Abs. 5 AuG). 5.Die Voraussetzungen für die Erteilung eines Visums präsentieren sich im Anwendungsbereich der erwähnten Rechtsgrundlagen wie folgt: 5.1 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(a.M. Philipp Egli / Tobias D. Meyer, in: Martina Caroni / Thomas Gächter / Daniela Thurn­herr [Hrsg.], Stämpflis Handkommentar zum Bundesgesetz über die Auslän­derinnen und Ausländer, Bern 2010, Art. 5 N. 3 f.). 5.2 Angehörige von Drittstaaten dürfen über die Aussengrenzen des Schengen-Raums für einen Aufenthalt von höchstens drei Monaten je Sechsmonatszeitraum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Art. 4 VEV). 5.3 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Philipp Egli / Tobias D. Meyer, a.a.O. Art. 5 N. 33). Weiterhin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 5.4 Eine Gefahr für die öffentliche Ordnung im Sinne von Art. 5 Abs. 1 Bst. e SGK ist auch dann anzunehmen, wenn die drittstaatsangehörige Person nicht bereit ist, das Hoheitsgebiet des Schengen-Raums fristgerecht wie­der zu verlassen (vgl. dazu Egli /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 5.5 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6.1</w:t>
      </w:r>
    </w:p>
    <w:p>
      <w:r>
        <w:t>Anhang I zur Verordnung (EG) Nr. 539/2001 des Rates vom 15. März 2001 listet diejenigen Staaten auf, deren Staatsangehörige beim Überschreiten der Aussengrenzen der Schengen Mitgliedstaaten im Besitze eines Visums sein müssen (Abl. L 81 vom 21.03.2001, S. 17, zum vollständigen Quellennachweis vgl. Fussnote zu Art. 4 Abs. 1 VEV). Da die Türkei zu diesen Staaten zählt, unterliegt der Gesuchsteller der Visumspflicht. Bei der Prüfung der Einreisevoraussetzungen nach Art. 5 Abs. 1 SGK steht die Frage der gesicherten Wiederausreise im Vordergrund, welche die Vorinstanz aufgrund der allgemeinen Lage im Heimatland sowie der persönlichen Verhältnisse des Gesuchstellers anzweifelt. Dazu lassen sich in der Regel keine gesicherten Feststellungen, sondern lediglich Prognosen treffen. Dabei sind sämtliche Umstände des konkreten Einzelfalles zu würdigen.</w:t>
      </w:r>
    </w:p>
    <w:p>
      <w:r>
        <w:rPr>
          <w:b/>
        </w:rPr>
        <w:t>E. 6.2</w:t>
      </w:r>
    </w:p>
    <w:p>
      <w:r>
        <w:t>Anhaltspunkte zur Beurteilung der Gewähr für eine fristgerechte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6.3</w:t>
      </w:r>
    </w:p>
    <w:p>
      <w:r>
        <w:t>In der Türkei sind auch heute noch breite Bevölkerungsschichten von vergleichsweise schwierigen wirtschaftlichen und sozialen Lebensbedingungen betroffen. Die türkische Wirtschaft hat sich zwar von den Auswirkungen der Finanzkrise im Jahr 2009 trotz massiver Konjunktureinbrüche relativ schnell erholt und im Jahr 2011 ein Wirtschaftswachstum von 8,5% erzielt. Trotz der positiven Wirtschaftsentwicklung zeichnet sich jedoch eine langsame Abkühlung ab. Der IWF prognostiziert für 2012 ein Wachstum von 0,4%. Die Entwicklung der Realeinkommen hat mit der Wirtschaftsentwicklung jedoch nicht Schritt halten können, so dass insbesondere die unteren Bevölkerungsschichten am Rande des Existenzminimums leben. Die ländliche Bevölkerung wandert deshalb auf der Suche nach besseren Lebensbedingungen und Arbeit weiterhin in die Städte und industriellen Zentren ab. Die Arbeitslosenquote liegt derzeit bei 9,1% (Quelle: Deutsches Auswärtiges Amt [www.auswaertiges-amt.de &gt; Reise und Sicherheit &gt; Reise- und Sicherheitshinweise: Länder A-Z &gt; Türkei: Reise- und Sicherheitshinweise &gt; Wirtschaft; Stand: April 2012] besucht im September 2012). Trotz des insgesamt zu verzeichnenden Aufschwungs der türkischen Wirtschaft stellt sich die nach wie vor hohe Arbeitslosenquote daher als eines ihrer Hauptprobleme dar. Vor dem aufgezeigten wirtschaftlichen Hintergrund ist - vor allem bei der jüngeren Bevölkerung - gemeinhin ein starker Migrationsdruck festzustellen. Vor allem Nordamerika und Europa gelten als Wunschdestinationen von Menschen im erwerbsfähigen Alter, die auf ein in wirtschaftlicher Hinsicht besseres Leben hoffen. Die Tendenz zur Auswanderung wird erfahrungsgemäss dort noch verstärkt, wo im Ausland bereits ein soziales Beziehungsnetz (Verwandte oder Freunde) besteht. Im Falle der Schweiz führt dies angesichts der restriktiven Zulassungsregelung zum Arbeitsmarkt nicht selten zur Umgehung ausländerrechtlicher Bestimmungen.</w:t>
      </w:r>
    </w:p>
    <w:p>
      <w:r>
        <w:rPr>
          <w:b/>
        </w:rPr>
        <w:t>E. 6.4</w:t>
      </w:r>
    </w:p>
    <w:p>
      <w:r>
        <w:t>Bei der Risikoanalyse sind allerdings nicht nur die erwähnten allgemeinen Umstände,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ausländerrechtlich nicht regelkonformes Verhalten (nach bewilligter Einreise zu einem Besuchsaufenthalt) hoch eingeschätzt werden. 7.7.1 Beim Gesuchsteller handelt es sich um einen unverheirateten und kinderlosen 23-jährigen Mann. Der Gesuchsteller soll - wie vom Beschwerdeführer vorgebracht - als einziges männliches Mitglied der Familie alleine für die Bestellung der Felder zuständig sein. Angesichts des geplanten dreimonatigen Auslandaufenthalts ist dies nicht glaubhaft. Es ist jedoch durchaus möglich, dass der Gesuchsteller mit seiner landwirtschaftlichen Tätigkeit sowie dem Handel mit Occasionsautos ein gutes Einkommen erzielt. Dennoch muss festgehalten werden, dass der Gesuchsteller gemäss Aussagen des Beschwerdeführers seine Tätigkeit als Autohändler beim zuständigen lokalen Händlerverband nicht angemeldet hat und somit nicht abzuschätzen ist, mit welchen Konsequenzen er zu rechnen hätte, würde dies zu Tage treten. Demzufolge kann nicht davon ausgegangen werden, der Gesuchteller verfüge über eine genügend grosse berufliche Verantwortung, welche ihn von einer Emigration abhalten würde. Nicht nachvollziehbar ist, inwiefern das Vermögen des Gesuchstellers von rund Fr. 14'300.-- (gemäss Bankauszug vom 1. Februar 2012 beträgt dieses rund TL 27'600) diesen von einer Emigration abhalten soll, denn bei einem allfälligen Verlust seiner Tätigkeit als Autohändler würde dieses zwangsläufig minimiert. Vor allem aber wurde im Jahr 2005 ein Familiennachzugsgesuch des Beschwerdeführers für den Gesuchsteller abgelehnt. Des Weiteren ist den Akten zu entnehmen, dass ein zweites Gesuch um Familiennachzug im Jahr 2008 zurückgezogen worden ist. Auch der neu erworbene Restaurantbetrieb stellt keine berufliche Verpflichtung dar, welche den Gesuchsteller von einer Emigration wohl abhalten würde, kann er diesen doch jederzeit wieder verkaufen oder weitervermieten. 7.2 Vor dem allgemeinen und persönlichen Hintergrund durfte die Vorinstanz demnach davon ausgehen, dass keine hinreichende Gewähr für eine fristgerechte und anstandslose Wiederausreise des Gesuchstellers nach einem Besuchsaufenthalt besteht. Zwar lässt sich diese Prognose nicht zu einer gesicherten Feststellung verdichten; sie genügt jedoch, um die Erteilung einer Einreisebewilligung, auf welche ohnehin kein Rechtsanspruch besteht, abzulehnen. 7.3 An der Richtigkeit dieser Einschätzung ändert auch die Tatsache nichts, dass der Beschwerdeführer die rechtzeitige Rückkehr des Gesuchstellers zugesichert hat. Die Integrität des Beschwerdeführers in seiner Eigenschaft als Gastgeber wird auch gar nicht in Zweifel gezogen. Indessen sind bei der Abwägung des Risikos einer nicht fristgerechten Wiederausreise nicht so sehr die Einstellung und die Ab­sichten des Gastgebers, sondern in erster Linie das mögliche Verhalten des Gastes selbst von Bedeutung. Nur Letzterer ist in der Lage, hinrei­chend Ge­währ für eine fristgerechte und anstandslo­se Wiederausreise zu bie­ten. Der Gastgeber kann - wie dies in casu mit der Unterzeichnung der Verpflichtungserklärung am 18. November 2011 geschehen ist - zwar für gewisse finanzielle Risi­ken (Lebensunter­haltskosten während des Besuchs-aufenthaltes, allfäl­lige Kosten für Unfall und Krankheit sowie Rückreisekosten) Garantie leisten, nicht aber - mangels rechtlicher und fak­tischer Durchsetzbar­keit - für ein be­stimmtes Verhalten des Gastes (vgl. BVGE 2009/27 E. 9). 7.4 Der Beschwerdeführer beruft sich auf den Umstand der "Inländerdiskriminierung". Zur derzeit geltenden Sachlage kann auf BGE 136 II 120 E. 3.4 verwiesen werden. In casu von Belang ist, dass nicht über einen Familiennachzug zu befinden ist, welcher Grundlage dieser Streitfrage bildet, sondern über die Gewährung eines Besuchervisums. Unter diesem Aspekt liegt keine "Inländerdiskriminierung" vor. Eine diesbezügliche Benachteiligung kann der Parteivertreter denn auch nicht aufzeigen und belegen. 7.5In casu erachtet es das Bundesverwaltungsgericht auch nicht als erforderlich, dem Gesuchsteller ein Visum aus humanitären Gründen zu erteilen (vgl. E. 5.5). Angesichts der landwirtschaftlichen Tätigkeit des Gesuchstellers, welche er laut Beschwerdeführer als einziges Mitglied der Familie ausführen soll, ist die Absicht eines dreimonatigen Auslandaufenthalts zwecks Pflege der familiären Beziehungen anzuzweifeln. Zudem ist aufgrund der Gesuche um Familiennachzug nicht von einer gesicherten Wiederausreise auszugehen. Die familiären Beziehungen können ebenso durch regelmässige Besuche in der Türkei gepflegt werden. 8.Aus vorstehenden Erwägungen folgt, dass die angefochtene Verfügung im Lichte von Art. 49 VwVG nicht zu beanstanden ist. Die Beschwerde ist daher abzuweisen. 9.Entsprechend dem Ausgang des Verfahrens wird der unter­liegende Be­schwerdeführer kostenpflichtig (Art. 63 Abs. 1 VwVG). Die Ver­fahrenskos­ten sind auf Fr. 800.- festzusetzen (Art. 1 ff.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