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C-7078/2010 vom 14. November 2012</w:t>
      </w:r>
    </w:p>
    <w:p>
      <w:r>
        <w:t>Bundesverwaltungsgericht, 2012-11-14, FR</w:t>
      </w:r>
    </w:p>
    <w:p>
      <w:r>
        <w:rPr>
          <w:b/>
        </w:rPr>
        <w:t xml:space="preserve">Quelle: </w:t>
      </w:r>
      <w:r>
        <w:t>https://mcp.opencaselaw.ch/entscheid/bvger_C-7078_2010</w:t>
      </w:r>
    </w:p>
    <w:p>
      <w:r>
        <w:t>FR: TAF C-7078/2010 du 14 novembre 2012</w:t>
      </w:r>
    </w:p>
    <w:p>
      <w:r>
        <w:t>IT: TAF C-7078/2010 del 14 novembre 2012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(ATAF 2011/1 consid. 2 p. 4).</w:t>
      </w:r>
    </w:p>
    <w:p>
      <w:r>
        <w:rPr>
          <w:b/>
        </w:rPr>
        <w:t>E. 3</w:t>
      </w:r>
    </w:p>
    <w:p>
      <w:r>
        <w:t>Dans son recours, A._______ fait valoir une violation de son droit d'être entendu garanti par l'art. 29 al. 2 de la constitution fédérale de la Confédération suisse du 18 avril 1999 (Cst., RS 101). Il estime que la décision querellée n'est pas suffisamment motivée.</w:t>
      </w:r>
    </w:p>
    <w:p>
      <w:r>
        <w:rPr>
          <w:b/>
        </w:rPr>
        <w:t>E. 3.1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jurisprudence citée ; voir également arrêt du Tribunal fédéral 5A_336/2010 du 30 juillet 2010 consid. 2.1 ; ATAF 2009/35 consid. 6.4.1 et réf. citées). Sous l'angle du droit d'être entendu, une motivation insuffisante ne peut ainsi être retenue que si la décision attaquée, sur le point litigieux, n'est aucunement motivée ou si cette motivation est indigente au point que la partie recourante ne soit pas à même de la contester à bon escient (cf. ATF 133 III 439 consid. 3.3, 126 I 97 consid. 2b ;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les arrêts du Tribunal fédéral 6B_518/2009 du 29 septembre 2009 consid. 2.5 et 1C_35/2009 du 29 mai 2009 consid. 3).</w:t>
      </w:r>
    </w:p>
    <w:p>
      <w:r>
        <w:rPr>
          <w:b/>
        </w:rPr>
        <w:t>E. 3.2</w:t>
      </w:r>
    </w:p>
    <w:p>
      <w:r>
        <w:t>En l'espèce, il apparaît à la lecture de la décision querellée que l'ODM expose, très succinctement, les motifs essentiels pour lesquels il considère que le refus d'approbation à l'octroi d'une autorisation de séjour est justifié. Il mentionne tout d'abord les raisons pour lesquelles il estime que, malgré une bonne intégration professionnelle, celle-ci n'est pas suffisante au regard de l'art. 14 al. 2 LAsi. Il rappelle ensuite les critères sévères de la jurisprudence et conclut, sans donner de détails, qu'en l'espèce, les conditions pour la reconnaissance d'un cas de rigueur grave ne sont pas remplies. La question de savoir si une motivation aussi sommaire satisfait aux exigences précisées ci-dessus sur le droit d'être entendu peut demeurer indécise.</w:t>
      </w:r>
    </w:p>
    <w:p>
      <w:r>
        <w:rPr>
          <w:b/>
        </w:rPr>
        <w:t>E. 3.3</w:t>
      </w:r>
    </w:p>
    <w:p>
      <w:r>
        <w:t>En effet, même à supposer que l'ODM ait effectivement violé le droit d'être entendu du recours, il sied de noter que, selon la jurisprudence constante du Tribunal fédéral, un tel vice peut être réparé lorsque l'administré a eu la possibilité de s'expliquer librement devant une autorité de recours, dont la cognition est aussi étendue que celle de l'autorité inférieure (ATF 133 I 201 consid. 2.2 p. 204s., ATF 130 II 530 consid. 7.3 p. 562 et jurispr. citée). Dans le cas présent, l'ODM a complété, de manière suffisante, dans sa réponse au recours, l'argumentation contenue dans la décision attaquée. Le recourant a eu la faculté de s'exprimer de manière complète et détaillée sur les motifs avancés par l'ODM, dans son mémoire de recours et dans sa réplique du 17 janvier 2011. Il a eu également l'occasion d'alléguer d'éventuels nouveaux éléments relatifs à sa situation personnelle, qui seraient intervenus depuis le dépôt de son recours. Par ailleurs, le Tribunal dispose d'une pleine cognition et peut revoir aussi bien les questions de droit que les constatations de fait établies par l'autorité inférieure ou encore l'opportunité de sa décision (art. 49 et art. 61 PA). En conséquence, même si l'on devait considérer que l'ODM n'a pas respecté le droit d'être entendu de l'intéressé dans la décision attaquée, il faut cependant constater que ce vice a été réparé dans le cadre de la procédure de recours.</w:t>
      </w:r>
    </w:p>
    <w:p>
      <w:r>
        <w:rPr>
          <w:b/>
        </w:rPr>
        <w:t>E. 4.1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w:t>
      </w:r>
    </w:p>
    <w:p>
      <w:r>
        <w:rPr>
          <w:b/>
        </w:rPr>
        <w:t>E. 4.2</w:t>
      </w:r>
    </w:p>
    <w:p>
      <w:r>
        <w:t>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 ATAF 2009/40 consid. 3.1). Lorsqu'il entend faire usage de l'art. 14 al. 2 LAsi, le canton le signale immédiatement à l'ODM (art. 14 al. 3 LAsi). Les critères à prendre en considération pour l'appréciation d'un "cas de rigueur grave"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l'ordonnance relative à l'admission, au séjour et à l'exercice d'une activité lucrative du 24 octobre 2007 [OASA, RS 142.201]), l'ancien art. 33 OA 1 a été abrogé et remplacé par l'art. 31 OASA, lequel comprend une liste étendue, mais exemplative, des critères à examiner pour la reconnaissance d'un cas individuel d'une extrême gravité.</w:t>
      </w:r>
    </w:p>
    <w:p>
      <w:r>
        <w:rPr>
          <w:b/>
        </w:rPr>
        <w:t>E. 4.3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4.4</w:t>
      </w:r>
    </w:p>
    <w:p>
      <w:r>
        <w:t>A teneur de l'art. 40 al. 1 LEtr, il revient en premier lieu aux cantons de délivrer les autorisations de séjour, sous réserve de la compétence de la Confédération en matière de procédure d'approbation (art. 99 LEtr) et de dérogations aux conditions d'admission (art. 30 LEtr), notamment. Selon l'art. 99 LEtr, le Conseil fédéral détermine les cas dans lesquels les autorisations de courte durée, de séjour ou d'établissement sont soumises à l'approbation de l'ODM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l'office fédéral. Tel n'est pas le cas s'agissant des procédures fondées sur l'art. 14 al. 2 LAsi. En effet, l'art. 14 al. 4 LAsi ne confère la qualité de partie à la personne concernée qu'au stade de la procédure d'approbation, conformément au principe d'exclusivité de la procédure d'asile énoncé à l'art. 14 al. 1 LAsi (sur les critiques émises à ce sujet : ATAF 2009/40 consid. 3.4.2, ainsi que les réf. citées). En d'autres termes, le droit fédéral ne ménage pas la possibilité pour les autorités cantonales de concéder des droits de partie aux personnes ayant de leur propre initiative invoqué le bénéfice de l'art. 14 al. 2 LAsi (voir en ce sens ATF 137 I 128 consid. 3.1.2 ainsi que les références mentionnées). Il résulte de ce qui précède qu'en dépit d'une terminologie similaire, la procédure d'approbation mentionnée à l'art. 14 al. 2 LAsi revêt une nature spéciale par rapport à la procédure d'approbation figurant dans la LEtr (notamment arrêts du Tribunal C-4884/2009 du 3 mai 2011 consid. 3.4 ; C-5302/2010 du 10 décembre 2010 consid. 4.1 ; C-6848/2009 du 22 septembre 2010 consid. 3.4).</w:t>
      </w:r>
    </w:p>
    <w:p>
      <w:r>
        <w:rPr>
          <w:b/>
        </w:rPr>
        <w:t>E. 5</w:t>
      </w:r>
    </w:p>
    <w:p>
      <w:r>
        <w:t>En l'espèce, le recourant a déposé une demande d'asile le 18 juillet 2002 et remplit ainsi les conditions temporelles exigées à l'art. 14 al. 2 let. a LAsi. A teneur du dossier, le lieu de séjour de l'intéressé a toujours été connu des autorités, si bien que celui-ci remplit également la condition requise à l'art. 14 al. 2 let. b LAsi. En outre, le canton de Genève est habilité à octroyer au prénommé une autorisation de séjour sur son territoire, compte tenu de l'attribution de l'intéressé à ce canton en application de la loi sur l'asile (art. 14 al. 2 phr. 1 LAsi). Le dossier du recourant a été transmis à l'ODM pour approbation sur proposition de l'OCP/GE du 15 avril 2010, conformément à l'art. 14 al. 3 LAsi. Il reste donc à examiner si le recourant se trouve dans un cas de rigueur grave en raison de son intégration poussée au sens de l'art. 14 al. 2 let. c LAsi en relation avec l'art. 31 OASA.</w:t>
      </w:r>
    </w:p>
    <w:p>
      <w:r>
        <w:rPr>
          <w:b/>
        </w:rPr>
        <w:t>E. 6.1</w:t>
      </w:r>
    </w:p>
    <w:p>
      <w:r>
        <w:t>Il découle de l'interprétation grammaticale, systématique, historique et téléologique de l'art. 14 al. 2 LAsi que la notion du cas de rigueur grave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 ATAF précité consid. 5.2 et 5.3). Il est d'ailleurs significatif de relever, à cet égard, que le renvoi aux dispositions légales figurant à l'art. 31 OASA mentionne tant l'art. 30 al. 1 let. b LEtr que l'art. 14 al. 2 LAsi.</w:t>
      </w:r>
    </w:p>
    <w:p>
      <w:r>
        <w:rPr>
          <w:b/>
        </w:rPr>
        <w:t>E. 6.2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(ATF 130 II 39 consid. 3 ; ATAF précité consid. 6.1 ; ATAF 2007/45 consid. 4.2). L'énoncé de l'art. 14 al. 2 LAsi et son emplacement - soit directement après l'art. 14 al. 1 LAsi qui consacre le principe de l'exclusivité de la procédure d'asile (consid. 3.3 supra) - indiquent que cette disposition est également appelée à revêtir un caractère exceptionnel.</w:t>
      </w:r>
    </w:p>
    <w:p>
      <w:r>
        <w:rPr>
          <w:b/>
        </w:rPr>
        <w:t>E. 6.3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voir l'ATAF 2009/40 consid. 6.2, et références citées).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(sous l'an­cien droit, l'ATF 124 II 110 consid. 3, voir également l'ATAF 2007/16, consid. 7)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(ATAF 2007/45 consid. 4.1 à 4.2 ; ATAF 2007/16 consid. 5.1 et 5.2 et la jurisprudence et la doctrine citées).</w:t>
      </w:r>
    </w:p>
    <w:p>
      <w:r>
        <w:rPr>
          <w:b/>
        </w:rPr>
        <w:t>E. 7.1</w:t>
      </w:r>
    </w:p>
    <w:p>
      <w:r>
        <w:t>A._______ réside en Suisse depuis le 18 juillet 2002 et totalise ainsi dix ans de présence dans ce pays. Depuis le 30 mars 2010 toutefois, il y demeure de manière précaire, à la faveur d'une simple tolérance cantonale, puis depuis le dépôt de son recours du 29 septembre 2010, grâce à l'effet suspensif lié à celui-ci. Or, un tel séjour précaire ne doit pas être pris en considération ou alors seulement dans une mesure très restreinte (cf. ATAF 2007/45 consid. 6.3). Par ailleurs, il s'impose de rappeler que le simple fait pour un étranger de séjourner en Suisse pendant plusieurs années, y compris à titre légal, ne permet pas d'admettre un cas personnel d'extrême gravité (ATAF 2007/16 consid. 7). Doivent dès lors être examinés les critères d'évaluation qui, autres que la seule durée du séjour en Suisse, pourraient rendre le retour de l'intéressé en Irak particulièrement rigoureux.</w:t>
      </w:r>
    </w:p>
    <w:p>
      <w:r>
        <w:rPr>
          <w:b/>
        </w:rPr>
        <w:t>E. 7.2.1</w:t>
      </w:r>
    </w:p>
    <w:p>
      <w:r>
        <w:t>S'agissant de son intégration socioprofessionnelle, il ressort du dossier que le recourant a travaillé de manière sporadique dès juillet 2005 en qualité de plongeur, nettoyeur, aide de cuisine ou garçon d'office auxiliaire auprès de divers employeurs. Une lettre de licenciement du 27 avril 2009 met en évidence que " [...] la qualité de votre (du recourant) travail laisse à désirer et vos collaborateurs et supérieurs se plaignent de votre comportement et ce, malgré les nombreuses remarques qui vous ont été adressées oralement.". Des certificats de travail d'autres employeurs soulignent son caractère honnête et courtois et les bons rapports qu'il entretient avec ses collègues et supérieurs. Depuis le 11 mai 2010, il travaille à plein temps pour une station-service en qualité d'employé polyvalent. Il maîtrise le français et a suivi, de mai à septembre 2007 des cours de langue française pour débutants (attestation de suivi de cours de septembre 2007 de B._______ SA). Il ne fait l'objet ni de poursuites, ni d'actes de défaut de biens, mais a bénéficié de l'aide sociale et de l'assurance-chômage. Sa dette envers l'Hospice général s'élève, en date du 10 août 2012, à Fr. 4'358,30, le recourant ayant déjà remboursé Fr. 11'276,60 (lettre du 10 août 2012 de l'Hospice général).</w:t>
      </w:r>
    </w:p>
    <w:p>
      <w:r>
        <w:rPr>
          <w:b/>
        </w:rPr>
        <w:t>E. 7.2.2</w:t>
      </w:r>
    </w:p>
    <w:p>
      <w:r>
        <w:t>L'intégration du recourant, certes relativement bonne, ne revêt toutefois pas un caractère exceptionnel. Elle est comparable à celle de la majorité des étrangers présents en Suisse depuis de nombreuses années, de sorte que le Tribunal de céans ne saurait considérer que celui-ci se soit créé avec la Suisse des attaches à ce point profondes et durables qu'il ne puisse plus raisonnablement envisager un éventuel retour dans son pays d'origine. Même si l'emploi actuellement exercé par le recourant est stable, force est d'admettre que celui-ci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(cf. notamment arrêt du Tribunal C-2996/2010 du 29 avril 2011 consid. 6.2.1). De plus, le fait qu'il soit récemment devenu totalement autonome financièrement est certes louable, mais n'est point de nature à modifier l'appréciation du Tribunal de céans dans son ensemble. En effet, en agissant ainsi, le recourant n'a somme toute qu'adopté le comportement que l'on est en droit d'attendre de toute personne dans sa situation. C'est le lieu de relever que le fait de travailler pour ne pas dépendre de l'aide sociale, d'éviter de commettre des actes répréhensibles pénalement et de s'efforcer d'apprendre l'une des langues nationales est un comportement ordinaire qui peut être attendu de toute personne souhaitant la régularisation de sa situation, mais ne saurait être considéré comme une "intégration poussée" au sens de l'art. 14 al. 2 let. c LAsi, c'est-à-dire susceptible d'être en soi un élément suffisant pour constituer un cas de rigueur grave et obtenir la régularisation de ses conditions de séjour.</w:t>
      </w:r>
    </w:p>
    <w:p>
      <w:r>
        <w:rPr>
          <w:b/>
        </w:rPr>
        <w:t>E. 7.3</w:t>
      </w:r>
    </w:p>
    <w:p>
      <w:r>
        <w:t>Sur le plan personnel, A._______ est célibataire, en bonne santé et n'a pas d'attaches familiales en Suisse. En revanche, il a passé en Irak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la jurisprudence men­tionnée). Dans ces conditions, le Tribunal ne saurait considérer que le séjour de l'intéressé sur le territoire suisse l'ait rendu totalement étranger à sa patrie, où il a vécu jusqu'à l'âge de trente-et-un ans. Il n'est en effet pas concevable que ce pays où il a passé la majeure partie de son existence lui soit devenu à ce point étranger qu'il ne serait plus en mesure, après une période de réadaptation, d'y retrouver ses repères, même s'il allègue n'y avoir plus de réseau social et plus qu'une tante et ses parents âgés et malades.</w:t>
      </w:r>
    </w:p>
    <w:p>
      <w:r>
        <w:rPr>
          <w:b/>
        </w:rPr>
        <w:t>E. 7.4</w:t>
      </w:r>
    </w:p>
    <w:p>
      <w:r>
        <w:t>Dans son recours et sa réplique du 17 janvier 2011, l'intéressé soutient qu'il y a lieu de relativiser quelque peu le poids de l'intérêt public dans les procédures de régularisation soumises par les cantons. Ce grief doit être écarté. En effet, le Tribunal fédéral a précisé, dans sa jurisprudence relative à l'art. 50 al. 1 let. b LEtr, qu'en cette matière, seule la situation personnelle de l'intéressé était décisive et non l'intérêt public que revêt une politique migratoire restrictive, contrairement à l'art. 30 al. 1 let. b LEtr qui ne confère pas un droit à la poursuite du séjour en Suisse (cf. arrêt 2C_993/2011 du 10 juillet 2012, prévu pour publication, consid. 3). Toujours à propos de l'art. 50 al. 1 let. b LEtr, on peut lire, dans l'ATF 137 II 1, au considérant 4 : "Im Gegensatz zur früheren Praxis zu den Ermessensentscheiden kann es hiebei nicht darauf ankommen, wie stark der jeweilige Kanton das öffentliche Interesse an einer restriktiven Einwanderungspolitik gewichtet. Dieser Gesichtspunkt kommt zwar regelmässig bei einer Beurteilung nach Art. 18-30 AuG zum Tragen, bei Art. 50 Abs. 1 AuG ist hingegen wesentlich, ob die Verpflichtung des Ausländers, die Schweiz zu verlassen, für ihn einen Härtefall darstellt". Ainsi, si l'intérêt public à une politique migratoire restrictive peut être pris en compte en cas de dérogation aux conditions d'admission pour tenir compte des cas individuels d'une extrême gravité selon l'art. 30 al. 1 let. b LEtr, il ne saurait en aller différemment lors de l'examen d'un cas de rigueur grave au sens de l'art. 14 al. 2 LAsi, dès lors que les mêmes règles s'appliquent dans les deux cas (cf. consid. 6 supra ; cf. dans ce contexte également l'arrêt du Tribunal fédéral 2A.199/2006 du 2 août 2006 consid. 3.1). Par ailleurs, la prise en compte de manière accrue de l'intérêt privé dans les procédures portant sur l'examen d'un cas de rigueur grave, comme le souhaiterait le recourant, ne ressort pas de la volonté du législateur. Celui-ci a, au contraire, voulu que la notion de cas de rigueur grave de l'art. 14 al. 2 LAsi corresponde à celle du cas individuel d'extrême gravité de l'art. 30 al. 1 let. b LEtr et que des autorisations de séjour ne soient délivrées dans ces cas qu'à des conditions restrictives, en cas d'intégration au-dessus de la normale des personnes intéressées.</w:t>
      </w:r>
    </w:p>
    <w:p>
      <w:r>
        <w:rPr>
          <w:b/>
        </w:rPr>
        <w:t>E. 7.5</w:t>
      </w:r>
    </w:p>
    <w:p>
      <w:r>
        <w:t>Quant au grief selon lequel l'ODM aurait dû davantage tenir compte de la situation particulière du recourant qui est un ancien requérant d'asile, il y a lieu de préciser, d'une part, que l'arrêt cité dans le recours (ATF 123 II 125 consid. 3) concernait un étranger dont la procédure d'asile était encore pendante, ce qui n'est pas le cas en l'espèce, et, d'autre part, que, dans sa décision sur recours du 13 octobre 2006, la Commission suisse de recours en matière d'asile a considéré que les motifs d'asile invoqués par le recourant n'étaient pas vraisemblables. Dans ces circonstances, cet élément ne saurait suffire à faire admettre l'existence d'un cas de rigueur grave au sens de l'art. 14 al. 2 LAsi, au vu des considérants exposés ci-dessus.</w:t>
      </w:r>
    </w:p>
    <w:p>
      <w:r>
        <w:rPr>
          <w:b/>
        </w:rPr>
        <w:t>E. 7.6</w:t>
      </w:r>
    </w:p>
    <w:p>
      <w:r>
        <w:t>Pour le surplus, il convient de rappeler que la reconnaissance d'un cas de rigueur ne tend pas à protéger l'étranger contre les conséquences des abus des autorités étatiques ni contre les actes de particuliers. Des considérations de cet ordre relèvent en effet de la procédure d'asile, respectivement de l'examen de la licéité et de l'exigibilité de l'exécution d'un renvoi entré en force (ATAF 2007/44 consid. 5.3 p. 583 et jurisprudence citée ). Par ailleurs,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2007/44 consid. 5.3 p. 583 et jurisprudence citée),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w:t>
      </w:r>
    </w:p>
    <w:p>
      <w:r>
        <w:rPr>
          <w:b/>
        </w:rPr>
        <w:t>E. 7.7</w:t>
      </w:r>
    </w:p>
    <w:p>
      <w:r>
        <w:t>En conséquence, l'examen de l'ensemble des éléments de la présente cause amène le Tribunal à la conclusion que le recourant ne peut se prévaloir d'un niveau d'intégration particulièrement poussé, de sorte qu'il ne se trouve pas dans un cas individuel d'une extrême gravité au sens des art. 14 al. 2 LAsi et 31 OASA.</w:t>
      </w:r>
    </w:p>
    <w:p>
      <w:r>
        <w:rPr>
          <w:b/>
        </w:rPr>
        <w:t>E. 8</w:t>
      </w:r>
    </w:p>
    <w:p>
      <w:r>
        <w:t>Il résulte de ce qui précède que, par sa décision du 23 août 2010, l'autorité de première instance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