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C-7075/2010 vom 25. August 2011</w:t>
      </w:r>
    </w:p>
    <w:p>
      <w:r>
        <w:t>Bundesverwaltungsgericht, 2011-08-25, FR</w:t>
      </w:r>
    </w:p>
    <w:p>
      <w:r>
        <w:rPr>
          <w:b/>
        </w:rPr>
        <w:t xml:space="preserve">Quelle: </w:t>
      </w:r>
      <w:r>
        <w:t>https://mcp.opencaselaw.ch/entscheid/bvger_C-7075_2010</w:t>
      </w:r>
    </w:p>
    <w:p>
      <w:r>
        <w:t>FR: TAF C-7075/2010 du 25 août 2011</w:t>
      </w:r>
    </w:p>
    <w:p>
      <w:r>
        <w:t>IT: TAF C-7075/2010 del 25 agosto 2011</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(ATF 135 II 369 consid. 3.3).</w:t>
      </w:r>
    </w:p>
    <w:p>
      <w:r>
        <w:rPr>
          <w:b/>
        </w:rPr>
        <w:t>E. 3</w:t>
      </w:r>
    </w:p>
    <w:p>
      <w:r>
        <w:t>Conformément à l'art. 5 al. 1 de la loi fédérale du 16 décembre 2005 sur les étrangers (LEtr, RS 142.20),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Aux termes de l'art. 11 al. 1 LEtr, tout étranger qui entend exercer en Suisse une activité lucrative doit être titulaire d'une autorisation, quelle que soit la durée de son séjour.</w:t>
      </w:r>
    </w:p>
    <w:p>
      <w:r>
        <w:rPr>
          <w:b/>
        </w:rPr>
        <w:t>E. 4</w:t>
      </w:r>
    </w:p>
    <w:p>
      <w:r>
        <w:t>L'interdiction d'entrée, qui permet d'empêcher l'entrée ou le retour en Suisse (et dans l'Espace Schengen, cf. arrêt du Tribunal administratif fédéral C-6528/2008 du 14 mai 2009 consid. 4) d'un étranger dont le séjour y est indésirable, est réglée à l'art. 67 LEtr. Cette disposition a remplacé l'art. 13 de la loi fédérale du 26 mars 1931 sur le séjour et l'établissement des étrangers (LSEE, RS 1 113).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w:t>
      </w:r>
    </w:p>
    <w:p>
      <w:r>
        <w:rPr>
          <w:b/>
        </w:rPr>
        <w:t>E. 5.1</w:t>
      </w:r>
    </w:p>
    <w:p>
      <w:r>
        <w:t>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w:t>
      </w:r>
    </w:p>
    <w:p>
      <w:r>
        <w:rPr>
          <w:b/>
        </w:rPr>
        <w:t>E. 5.2</w:t>
      </w:r>
    </w:p>
    <w:p>
      <w:r>
        <w:t>Il convient d'examiner ainsi, dans le cas d'espèce, si les éléments de fait pris en compte par l'ODM tombent sous le coup de la nouvelle disposition correspondante sans que l'application de cette dernière soit prohibée par le principe de la non rétroactivité. Dans ce contexte, il y a lieu de tenir compte de la nouvelle limite fixée à 5 ans pour la durée maximale de l'interdiction d'entrée, sauf menace grave pour la sécurité et l'ordre publics (cf. art. 67 al. 3 LEtr).</w:t>
      </w:r>
    </w:p>
    <w:p>
      <w:r>
        <w:rPr>
          <w:b/>
        </w:rPr>
        <w:t>E. 5.3</w:t>
      </w:r>
    </w:p>
    <w:p>
      <w:r>
        <w:t>En l'occurrence, la décision querellée est fondée en premier lieu sur l'ancien art. 67 al. 1 let. a LEtr, qui correspond en tout point à l'alinéa 2 let. a du nouvel art. 67 LEtr.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La décision de l'ODM est par ailleurs fondée sur l'art. 67 al. 1 let. c et d LEtr, dont le contenu a été repris en substance à l'alinéa 1 let. a et à l'alinéa 2 let. c du nouvel article 67 LEtr. Dans la mesure où la mesure prononcée par l'ODM le 1er septembre 2010 excède la durée maximale de 5 ans prévue à l'art. 67 al. 3 LEtr, il y aurait lieu d'examiner si les infractions commises par le recourant sont constitutives d'une menace grave pour la sécurité et l'ordre publics au sens de cette disposition. Le Tribunal peut toutefois se dispenser d'examiner cette question, dès lors qu'il se justifie de toute manière de réduire la durée de la mesure prononcée le 1er septembre 2010 pour les motifs qui seront exposés au considérant 8 du présent arrêt.</w:t>
      </w:r>
    </w:p>
    <w:p>
      <w:r>
        <w:rPr>
          <w:b/>
        </w:rPr>
        <w:t>E. 6.1</w:t>
      </w:r>
    </w:p>
    <w:p>
      <w:r>
        <w:t>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6.2</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TAF C 6801/2010 du 1er avril 2011 consid. 4 et C 1667/2010 du 21 mars 2011 consid. 3.3).</w:t>
      </w:r>
    </w:p>
    <w:p>
      <w:r>
        <w:rPr>
          <w:b/>
        </w:rPr>
        <w:t>E. 6.3</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w:t>
      </w:r>
    </w:p>
    <w:p>
      <w:r>
        <w:rPr>
          <w:b/>
        </w:rPr>
        <w:t>E. 6.4</w:t>
      </w:r>
    </w:p>
    <w:p>
      <w:r>
        <w:t>En application de l'art. 81 OASA, les autorités cantonales peuvent déposer une demande auprès de l'ODM afin qu'il ordonne une interdiction d'entrée.</w:t>
      </w:r>
    </w:p>
    <w:p>
      <w:r>
        <w:rPr>
          <w:b/>
        </w:rPr>
        <w:t>E. 6.5</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Ausländerinnen und Ausländern in der Schweiz von A(syl) bis Z(ivilrecht), 2ème éd., Peter Uebersax/Beat Rudin/Thomas Hugi Yar/Thomas Geiser [éd.], Bâle 2009, ch. 8.80 p. 356). 7.Le 1er septembre 2010, l'ODM a rendu à l'endroit de A._______ une interdiction d'entrée en Suisse valable jusqu'au 2 septembre 2016, au motif que celui-ci avait attenté à la sécurité et à l'ordre publics en raison d'infractions à la LStup, d'une entrée et d'un séjour illégaux (art. 67 al. 1 let. a LEtr) et qu'il avait été placé en détention et renvoyé (art. 67 al. 1 let. c/d LEtr). L'examen du dossier amène à constater que le recourant est entré en Suisse en avril 2010, alors qu'il était dépourvu de visa à cet effet et qu'il faisait au surplus l'objet d'une mesure d'interdiction d'entrée sur le territoire des Etats Schengen et qu'il a ensuite séjourné en Suisse sans aucune autorisation jusqu'à son interpellation le 27 août 2010 dans le cadre d'une opération policière portant sur le commerce de chanvre. Il ressort de ce qui précède que le recourant a ainsi violé, qui plus est de manière parfaitement consciente, selon ses propres déclarations, les prescriptions légales régissant l'entrée et le séjour des étrangers en Suisse. La présence dans ce pays de son amie, qu'il a ultérieurement épousée en Tunisie, ne le dispensait nullement de respecter les lois suisses et d'entreprendre les démarches nécessaires en vue d'y régulariser ses conditions de séjour. En conséquence, c'est à bon droit que l'ODM a considéré, dans sa décision du 1er septembre 2010, que A._______ avait attenté à la sécurité et à l'ordre publics au sens de l'art. 67 al. 1 let. a LEtr (actuellement: de l'art. 67 al. 2 let. a LEtr) et qu'il a prononcé une interdiction d'entrée pour ce motif. C'est également à bon droit que l'autorité inférieure a motivé sa décision sur l'art. 67 al. 1 let. d LEtr, dès lors que l'intéressé a été placé le 27 août 2010 en détention en vue de refoulement, avant d'être renvoyé le 4 septembre 2010 en Tunisie. Sur un autre plan, il apparaît en outre qu'en relation avec son interpellation du 27 août 2010, A._______ a été condamné le 11 mars 2011, par le Ministère public du canton de Berne, à une amende de Fr. 100.- pour contravention à la loi fédérale du 3 octobre 1951 sur les stupéfiants (LStup, RS 812.121). A ce propos, on ne saurait perdre de vue que la protection de la collectivité face au développement du trafic de stupéfiants répond à un intérêt public majeur, qui justifie l'éloignement de Suisse des personnes qui sont mêlées de près ou de loin à ce commerce et contribuent ainsi activement à la propagation de ce fléau. Il s'agit en effet d'un domaine où les autorités helvétiques, à l'instar des instances européennes, se montrent particulièrement rigoureuses, au vu des ravages causés par la drogue au sein de la population, spécialement parmi les jeunes. En considération de ce qui précède, le Tribunal est amené à la conclusion que c'est à bon droit que l'ODM a retenu, à la charge du recourant, les motifs mentionnés dans la décision dont est recours, laquelle est ainsi confirmée dans son principe. 8.Il reste à examiner si la mesure d'éloignement prise par l'ODM, d'une durée de six ans, satisfait aux principes de la proportionnalité et de l'égalité de traitement. 8.1 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cf. consid. 3.4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p. 104, ATF 135 I 176 consid. 8.1 p. 186, ATF 133 I 110 consid. 7.1 p. 123, et la jurisprudence citée; cf. également la doctrine citée ci-dessus). 8.2 En l'espèce, il apparaît que le recourant s'est rendu coupable d'infractions aux prescriptions de police des étrangers (entrée et séjour illégaux) qu'il a clairement reconnues et qu'il a par ailleurs fait l'objet d'une condamnation à Fr 100.- d'amende pour contravention à la LStup, à la suite de son interpellation du 27 août 2010. Il convient certes de prendre également en considération sa situation personnelle et familiale, soit la présence en Suisse de B._______, ressortissante algérienne qu'il a épousée le 21 septembre 2010 en Tunisie. Toutefois, le dossier cantonal ne laisse nullement apparaître que le recourant aurait sollicité, à la suite de ce mariage, l'octroi d'une autorisation de séjour pour s'établir auprès de son épouse en Suisse, où celle-ci est titulaire d'une autorisation d'établissement. Cela signifie que les époux s'accommodent, du moins en l'état, de vivre séparés. Au demeurant, s'ils se décidaient à vivre en communauté conjugale en Suisse et si le recourant obtenait une autorisation de séjour à cette fin, l'ODM s'est d'ores et déjà déclaré disposé, dans son préavis du 9 décembre 2010, d'examiner l'opportunité d'annuler la décision litigieuse. Dans ces circonstances, on ne voit pas en quoi la mesure incriminée empêcherait les époux de poursuivre leur relation, cela d'autant moins qu'il est toujours loisible au recourant de solliciter la suspension provisoire ou définitive de l'interdiction d'entrée (cf. art. 67 al. 5 LEtr). 8.3 Tenant compte de l'ensemble des éléments objectifs et subjectifs de la cause, le TAF considère que l'interdiction d'entrée en Suisse prise par l'autorité inférieure le 1er septembre 2010 est nécessaire et adéquate. Il appert toutefois que la durée de cette mesure, fondée sur une entrée et un séjour illégal de quatre mois en Suisse, ainsi que sur une contravention à la LStup, est excessive. Il convient par conséquent de réduire cette durée en vertu des principes de proportionnalité et d'égalité de traitement et de limiter les effets de cette mesure à quatre ans, compte tenu également de la situation personnelle du recourant. 9.Le recours est ainsi partiellement admis et la décision de l'ODM du 1er septembre 2010 est réformée en ce sens que les effets de l'interdiction d'entrée sont limités au 2 septembre 2014. En conséquence, il y a lieu de mettre des frais réduits, d'un montant de Fr. 500.-, à la charge du recourant (art. 63 al. 1 PA en relation avec les art. 1 à 3 du règlement du Tribunal administratif fédéral du 21 février 2008 concernant les frais, dépens et indemnités fixés par le Tribunal administratif fédéral [FITAF, RS 173.320.2]). Obtenant partiellement gain de cause, il convient par ailleurs de lui accorder des dépens réduits (art. 64 al. 1 PA en relation avec l'art. 7 al. 2 FITAF). Au vu de l'ensemble des circonstances du cas et de l'ampleur du travail accompli par le mandataire, le Tribunal estime, au regard des art. 8ss FITAF, que le versement de Fr. 400.- (TVA comprise) à titre d'indemnité pour les frais nécessaires causés par le litige apparaît comme équitable (cf.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