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C-7074/2009 vom 26. April 2012</w:t>
      </w:r>
    </w:p>
    <w:p>
      <w:r>
        <w:t>Bundesverwaltungsgericht, 2012-04-26, DE</w:t>
      </w:r>
    </w:p>
    <w:p>
      <w:r>
        <w:rPr>
          <w:b/>
        </w:rPr>
        <w:t xml:space="preserve">Quelle: </w:t>
      </w:r>
      <w:r>
        <w:t>https://mcp.opencaselaw.ch/entscheid/bvger_C-7074_2009</w:t>
      </w:r>
    </w:p>
    <w:p>
      <w:r>
        <w:t>FR: TAF C-7074/2009 du 26 avril 2012</w:t>
      </w:r>
    </w:p>
    <w:p>
      <w:r>
        <w:t>IT: TAF C-7074/2009 del 26 aprile 2012</w:t>
      </w:r>
    </w:p>
    <w:p>
      <w:pPr>
        <w:pStyle w:val="Heading2"/>
      </w:pPr>
      <w:r>
        <w:t>Regeste</w:t>
      </w:r>
    </w:p>
    <w:p>
      <w:r>
        <w:t>Rente</w:t>
      </w:r>
    </w:p>
    <w:p>
      <w:pPr>
        <w:pStyle w:val="Heading2"/>
      </w:pPr>
      <w:r>
        <w:t>Erwägungen</w:t>
      </w:r>
    </w:p>
    <w:p>
      <w:r>
        <w:rPr>
          <w:b/>
        </w:rPr>
        <w:t>E. 2</w:t>
      </w:r>
    </w:p>
    <w:p>
      <w:r>
        <w:t>Vorab sind die zur Beurteilung der vorliegenden Beschwerde mass­gebenden gesetzlichen Grundlagen und die dazu von der Recht­sprechung entwickelten Grundsätze darzulegen.</w:t>
      </w:r>
    </w:p>
    <w:p>
      <w:r>
        <w:rPr>
          <w:b/>
        </w:rPr>
        <w:t>E. 2.1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2.2</w:t>
      </w:r>
    </w:p>
    <w:p>
      <w:r>
        <w:t>In zeitlicher Hinsicht sind grundsätzlich diejenigen materiellen Rechtssätze massgebend, die bei der Erfüllung des zu Rechtsfolgen führenden Tatbe­standes Geltung hatten (BGE 130 V 329 E. 2.3). Die Frage, ob die SAK die Neuberechnung der Al­tersrente des Beschwerde­führers korrekt durchgeführt hat, beurteilt sich somit grund­sätzlich nach den im Mai 2009 (Eintritt des Rentenfalles bei der Ehefrau des Beschwerdeführers) gülti­gen Bestim­mungen des AHVG und der Verordnung über die Alters- und Hinterlas­senen­versicherung vom 31. Oktober 1947 (AHVV, SR 831.101).</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 3.1. 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 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Erziehungsgutschriften werden immer für ganze Kalenderjahre angerechnet. Während des Jahres, in dem der Anspruch entsteht, werden keine Gutschriften angerechnet. Im Jahr, in dem der Anspruch erlischt, werden Gutschriften angerechnet. Absatz 5 bleibt vorbehalten (Art. 52f Abs. 1 AHVV). Ist eine Person nur während einzelner Monate versichert, so werden diese Monate über das Kalenderjahr hinaus zusammengezählt. Für je zwölf Monate wird eine Erziehungsgutschrift angerechnet (Art. 52f Abs. 5 AHVV). Die Erziehungsgutschrift entspricht dem Betrag der dreifachen minimalen jährlichen Altersrente gemäss Art. 34 im Zeitpunkt der Entstehung des Rentenanspruches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3.2. Der Beschwerdeführer ist Vater von drei Kindern: C._______ (geb. [...] 1955), B._______ (geb. [...] 1956) und D._______ (geb. [...] 1959); ihm sind somit für die Jahre 1956 (das Geburtsjahr des ersten Kindes [das Jahr, in welchem der Anspruch entsteht] wird nicht berücksichtigt) bis 1975 (Erreichen des 16. Altersjahres des jüngsten Kindes) Erziehungsgutschriften anzurechnen. Der Beschwerdeführer hat somit - wie die Vorinstanz korrekt festgestellt hat - während 20 Jahren Anspruch auf Erziehungsgutschriften. Da die Mutter dieser Kinder, die Ex-Ehefrau des Beschwerdeführers, in diesen Jahren ebenfalls versichert war, sind dem Beschwerdeführer lediglich halbe Erziehungsgutschriften anzurechnen. Daraus ergibt sich folgende Berechnung: Eine ganze Erziehungsgutschrift beträgt im Jahr 2009 Fr. 41'040.-- (dreifache jährliche minimale Altersrente). Der Beschwerdeführer hat somit Anspruch auf Erziehungsgutschriften in der Höhe von Fr. 410'400.-- (20 Jahre à Fr. 41'040.--, geteilt durch 2). Aufgeteilt auf die Beitragsdauer des Beschwerdeführers (44 Jahre) ergibt dies eine durchschnittliche Erziehungsgutschrift von jährlich Fr. 9'327.--. Aus der detaillierten Rentenberechnung der Vorinstanz (SAK-act. 9) ergibt sich, dass die Vorinstanz dem Beschwerdeführer Erziehungsgutschriften in vorgenannter Höhe angerechnet hat, weshalb die Berechnung der Vorinstanz nicht zu beanstanden ist. Anzumerken bleibt, dass - entgegen der Meinung des Beschwerdeführers - nicht für jedes Kind eine separate Erziehungsgutschrift anzurechnen ist, sondern dass es auf die Zeitspanne, während welcher Erziehungspflichten wahrzunehmen sind, ankommt. Somit hätte sich an der Berechnung der Erziehungsgutschrift selbst dann nichts geändert, wenn die Vorinstanz das zweitgeborene Kind bei der Berechnung vergessen hätte, da dieses auf den Beginn und das Ende der Periode, für welche Erziehungsgutschriften auszurichten sind, keinen Einfluss hat. 3.3. Zusammenfassend ist somit festzuhalten, dass die Berechnung der Erziehungsgutschriften durch die Vorinstanz nicht zu beanstanden ist, weshalb der angefochtene Einspracheentscheid zu bestätigen und die Beschwerde abzuweisen ist. 4.1. Das Verfahren ist für die Parteien kostenlos (Art. 85bis Abs. 2 AHVG), sodass keine Verfahrenskosten zu erheben sind. 4.2. 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