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C-706/2010 vom 20. Juni 2011</w:t>
      </w:r>
    </w:p>
    <w:p>
      <w:r>
        <w:t>Bundesverwaltungsgericht, 2011-06-20, DE</w:t>
      </w:r>
    </w:p>
    <w:p>
      <w:r>
        <w:rPr>
          <w:b/>
        </w:rPr>
        <w:t xml:space="preserve">Quelle: </w:t>
      </w:r>
      <w:r>
        <w:t>https://mcp.opencaselaw.ch/entscheid/bvger_C-706_2010</w:t>
      </w:r>
    </w:p>
    <w:p>
      <w:r>
        <w:t>FR: TAF C-706/2010 du 20 juin 2011</w:t>
      </w:r>
    </w:p>
    <w:p>
      <w:r>
        <w:t>IT: TAF C-706/2010 del 20 giugno 2011</w:t>
      </w:r>
    </w:p>
    <w:p>
      <w:pPr>
        <w:pStyle w:val="Heading2"/>
      </w:pPr>
      <w:r>
        <w:t>Regeste</w:t>
      </w:r>
    </w:p>
    <w:p>
      <w:r>
        <w:t>Rentenanspruch</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(Art. 37 VGG). Gemäss Art. 3 lit. dbis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2.1</w:t>
      </w:r>
    </w:p>
    <w:p>
      <w:r>
        <w:t>Die Beschwerdeführerin ist österreichische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w:t>
      </w:r>
    </w:p>
    <w:p>
      <w:r>
        <w:rPr>
          <w:b/>
        </w:rPr>
        <w:t>E. 3.3</w:t>
      </w:r>
    </w:p>
    <w:p>
      <w:r>
        <w:t>Weiter sind in zeitlicher Hinsicht grundsätzlich diejenigen Rechtssätze mass­gebend, die bei der Erfüllung des zu Rechtsfolgen führenden Tat­bestandes Geltung hatten (BGE 132 V 220 E. 3.1.1, 131 V 11 E. 1). Daher ist ein allfälliger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AS 2007 5129]) und der Zeitpunkt des Renten­beginns, der - sofern die entsprechenden Anspruchsvoraus­setzungen gegeben sind - gemäss Art. 29 Abs. 1 IVG (in der Fassung der 5. IV-Revision) frühestens sechs Monate nach Geltendmachung des Leistungsan­spruchs nach Art. 29 Abs. 1 ATSG entsteht. Hat das Wartejahr aller­dings vor dem 1. Januar 2008 zu laufen begonnen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4</w:t>
      </w:r>
    </w:p>
    <w:p>
      <w:r>
        <w:t>Vorab ist zu prüfen, ob die IVSTA angesichts des bei der SVA SG eingereichten Gesuchs die zuständige Verfügungsbehörde war.</w:t>
      </w:r>
    </w:p>
    <w:p>
      <w:r>
        <w:rPr>
          <w:b/>
        </w:rPr>
        <w:t>E. 4.1</w:t>
      </w:r>
    </w:p>
    <w:p>
      <w:r>
        <w:t>Die örtliche Zuständigkeit der IV-Stelle richtet sich in der Regel nach dem Wohnsitz des Versicherten im Zeitpunkt der Anmeldung (Art. 55 IVG). Zuständig zur Entgegennahme und Prüfung der Anmeldung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4.2</w:t>
      </w:r>
    </w:p>
    <w:p>
      <w:r>
        <w:t>Die Beschwerdeführerin war Grenzgängerin und hatte ihre letzte Arbeitsstelle im Kanton St. Gallen; sie wohnt zudem noch im Grenzgebiet. Sie hat sich somit zu Recht bei der SVA SG zum Leistungsbezug angemeldet. Der Erlass der Verfügung durch die IVSTA ist gemäss obenstehenden Ausführungen nicht zu beanstanden.</w:t>
      </w:r>
    </w:p>
    <w:p>
      <w:r>
        <w:rPr>
          <w:b/>
        </w:rPr>
        <w:t>E. 5.1</w:t>
      </w:r>
    </w:p>
    <w:p>
      <w:r>
        <w:t>Vorliegend hat die Beschwerdeführerin die gemäss der seit 1. Januar 2008 in Kraft stehenden Regelung geltende dreijährige Mindestbeitragszeit aufgrund der zwischen 1988 und 2008 geleisteten Beiträge zweifellos erfüllt. Ob die Wartefrist noch vor dem 1. Januar 2008 zu laufen begann und daher noch das alte Recht anzuwenden ist, wird gegebenenfalls nach der Würdigung der medizinischen Akten zu prüfen sein.</w:t>
      </w:r>
    </w:p>
    <w:p>
      <w:r>
        <w:rPr>
          <w:b/>
        </w:rPr>
        <w:t>E. 5.2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5.3</w:t>
      </w:r>
    </w:p>
    <w:p>
      <w:r>
        <w:t>Der Rentenanspruch nach Artikel 28 entsteht nach den Vor­schrif­ten der 4. IV-Revision frühestens in dem Zeitpunkt, in dem der Ver­sicher­te mindestens zu 40%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5.4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5.5.1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5.5.2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5.5.3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6</w:t>
      </w:r>
    </w:p>
    <w:p>
      <w:r>
        <w:t>Nachfolgend ist zu prüfen, ob die IVSTA das Leistungsbegehren der Beschwerdeführerin zu Recht abgewiesen hat.</w:t>
      </w:r>
    </w:p>
    <w:p>
      <w:r>
        <w:rPr>
          <w:b/>
        </w:rPr>
        <w:t>E. 6.1</w:t>
      </w:r>
    </w:p>
    <w:p>
      <w:r>
        <w:t>In den Berichten von Dr. med. A._______, Facharzt für Orthopädie und orthopädische Chirurgie, vom 7. November 2008 und vom 20. März 2009 sind folgende Diagnosen erwähnt: Hallux valgus rechts, Hammerzehe (Dig. II, rechts), chronische Lumbalgie, Periarthritis humeroscapularis rechts, Tarsaltunnelsyndrom links mehr als rechts mit zugehöriger Metatarsalgie, minimal aktivierte Retropatellararthrose rechts mehr als links, beginnende mediale Gonarthrose beidseits, Gonalgie, Trochanterdynie beidseits, Chondrose L4/5 bei cicumferentiell ausgewalztem Diskus, Einriss im Anulus fibrosus L4/5 mit Duralsackkompression auf 9 mm, Kontakt zu beiden Nervenwurzeln L5, Ischialgie rechts L5/S1, ausgeprägter Kompressionswirbel Th8, Th9, Th6 und Kompressionswirbel Th11, Th10, minimaler Keilwirbel Th7 und Th5, Morbus Scheuermann bei Th11/12 mit deutlichen Schmorl'schen Hernien, verstärkte BWS-Kyphose und Osteoporose. Der beurteilende Arzt erachtete die Beschwer­deführerin für ihre bisherige Tätigkeit als Servicemitarbeiterin als nicht mehr geeignet, da Gehen, Stehen und das Tragen von Lasten schmerzauslösend seien. Leichte Tätigkeiten seien während acht Stunden täglich möglich.</w:t>
      </w:r>
    </w:p>
    <w:p>
      <w:r>
        <w:rPr>
          <w:b/>
        </w:rPr>
        <w:t>E. 6.2</w:t>
      </w:r>
    </w:p>
    <w:p>
      <w:r>
        <w:t>Dem Bericht von Dr. med. B._______, Gemeindearzt/Allgemein­medizin, vom 23. Januar 2009 sind folgende Diagnosen mit Auswirkungen auf die Arbeitsfähigkeit zu entnehmen: Osteoporose, Lumbago, Coxarthrose beidseits, Periarthritis humeroscapularis links, Hallux valgus rechts, Krallenzehe (Dig. II, links). Als Diagnosen ohne Auswirkungen auf die Arbeitsfähigkeit nannte er eine Myokardiopathie, Vertigo, Tinnitus, Cephalea und Wetterfühligkeit. Aufgrund der diagnostizierten gesundheitlichen Einschränkungen erachtete er die Beschwerdeführerin in der bisherigen Tätigkeit als Kellnerin als zu 100% arbeitsunfähig. Das Vorhandensein einer Arbeitsfähigkeit für leichte Tätigkeiten verneinte er mit der Begründung "mit 62 ½ Jahren und körperlichen Beschwerden".</w:t>
      </w:r>
    </w:p>
    <w:p>
      <w:r>
        <w:rPr>
          <w:b/>
        </w:rPr>
        <w:t>E. 6.3</w:t>
      </w:r>
    </w:p>
    <w:p>
      <w:r>
        <w:t>Dr. med. C._______ des RAD, Facharzt für Orthopädie, bestätigte im Wesentlichen die von den beiden untersuchenden Ärzten gestellten Diagnosen. Betreffend die Arbeitsfähigkeit führte er aus, es sei davon auszugehen, dass die Beschwerdeführerin, welche noch bis April 2008 in ihrer bisherigen Tätigkeit gearbeitet habe, frühestens seit Mai 2008 für diese Arbeit vollständig arbeitsunfähig sei, zumal ihr aufgrund der belastungsabhängigen, degenerativen Beschwerden längeres Stehen und das Tragen von Lasten nicht mehr möglich sei. Leichte, wechselbelastende, vorwiegend sitzende Tätigkeiten mit der Möglichkeit zum Stellungswechsel, ohne Heben und Tragen von Lasten über 5 kg, Überkopfarbeiten, repetitive Bewegungen im rechten Schultergelenk, längere Gehstrecken oder Überwinden von Höhendifferenzen (Treppen, Leitern, Gerüste) seien - in Übereinstimmung mit den Ausführungen von Dr. med. A._______ - seines Erachtens ganztags möglich. Die abweichende Beurteilung von Dr. med. B._______ stütze sich vorwiegend auf IV-fremde Gründe wie Alter oder gehäufte Krankheitsabwesenheiten, was vorliegend jedoch nicht zu berücksichtigen sei.</w:t>
      </w:r>
    </w:p>
    <w:p>
      <w:r>
        <w:rPr>
          <w:b/>
        </w:rPr>
        <w:t>E. 6.4</w:t>
      </w:r>
    </w:p>
    <w:p>
      <w:r>
        <w:t>Zusammenfassend ist festzuhalten, dass sich die beiden untersuchenden Ärzte und der stellungnehmende RAD-Arzt sowohl in Bezug auf die Diagnosen als auch in Bezug auf die gesundheitlichen Einschränkungen und die daraus resultierende volle Arbeitsunfähigkeit in der bisherigen Tätigkeit als Kellnerin im Wesentlichen einig sind. Strittig ist aber die Einschränkung der Arbeitsfähigkeit in Verweistätigkeiten. Dr. med. A._______ und Dr. med. C._______ halten die Beschwerdeführerin für leichte, wechselbelastende, vorwiegend sitzende Tätigkeiten mit der Möglichkeit zum Stellungswechsel unter Berücksichtigung eines negativen Leistungskatalogs (Heben und Tragen von Lasten über 5 kg, Überkopfarbeiten, repetitive Bewegungen im rechten Schultergelenk, längere Gehstrecken oder Überwinden von Höhendifferenzen) für voll arbeitsfähig. Dr. med. B._______ erachtet die Beschwerdeführerin hingegen für jegliche Arbeiten als voll arbeitsunfähig. Diesbezüglich ist darauf hinzuweisen, dass sich seine Beurteilung der Arbeitsfähigkeit im Wesentlichen auf invaliditätsfremde Grün­de wie Alter oder Angebot auf dem Arbeitsmarkt bezieht (vgl. seine Ausführung "mit 62½ Jahren und körperlichen Beschwerden"). Dies sind Gründe, die bei der Beurteilung des Invaliditäts­grades, bei welchem vom theoretischen Begriff des ausgeglichenen Arbeitsmarkts auszugehen ist, gemäss herrschender Rechtsprechung grundsätzlich nicht respektive nur im Rahmen eines leidensbedingten Abzuges zu berücksichtigen sind. Erwerbs­losigkeit aus invaliditäts­fremden Gründen vermag keinen Rentenanspruch zu begründen (vgl. Urteil des Bundesgerichts vom 13. Novem­ber 2007 [9C_382/2007 E. 4.3]; BGE 107 V 17 E. 2c). Der negative Leistungskatalog in der Einschätzung von Dr. med. A._______ und Dr. med. C._______ steht der vollzeitlichen Ausübung einer leichten Tätigkeit nicht entgegen. Ferner ergeben sich aus den Beurteilungen der beiden Spezialisten im Fachgebiet Orthopädie auch sonst keine Unstimmigkeiten, weshalb ihren Einschätzungen gegenüber der Beurteilung des Allgemeinmediziners den Vorzug zu geben ist, zumal es sich bei den die Arbeitsfähigkeit limitierenden Beschwerden ausschliesslich um orthopädische Probleme handelt. Aus diesen Gründen ist in Bezug auf die Beurteilung der Arbeitsfähigkeit der Beschwerdeführerin auf die überzeugenden Ausführungen von Dr. med. A._______ und Dr. med. C._______ abzustellen.</w:t>
      </w:r>
    </w:p>
    <w:p>
      <w:r>
        <w:rPr>
          <w:b/>
        </w:rPr>
        <w:t>E. 7</w:t>
      </w:r>
    </w:p>
    <w:p>
      <w:r>
        <w:t>Zu prüfen bleibt noch der von der IVSTA ermittelte Invaliditätsgrad.</w:t>
      </w:r>
    </w:p>
    <w:p>
      <w:r>
        <w:rPr>
          <w:b/>
        </w:rPr>
        <w:t>E. 7.1.1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w:t>
      </w:r>
    </w:p>
    <w:p>
      <w:r>
        <w:rPr>
          <w:b/>
        </w:rPr>
        <w:t>E. 7.1.2</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Bezog eine versicherte Person aus invaliditätsfremden Gründen (z.B. ge­ringe Schulbildung, fehlende berufliche Ausbildung, mangelnde Sprachkenntnisse,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(vgl. BGE 135 V 58 E. 3.1 sowie BGE 135 V 297 E. 5.1, je mit Hinweis auf BGE 134 V 322 E. 4.1 mit wiederum wei­teren Hinweisen). Die Grund­überlegung dieser Rechtsprechung ist die fol­gende: Wenn eine versicherte Person in derjenigen Tätigkeit, die sie als Gesunde aus­ge­führt hat, einen deutlich unterdurchschnittlichen Lohn erzielt, weil ihre per­sönlichen Eigenschaften die Erzielung eines Durch­schnittslohnes verunmöglichen, dann ist nicht anzunehmen, dass sie mit einer gesundheitlichen Beein­trächtigung behaftet einen (an­teilsmässig) durchschnittlichen Lohn er­zielen könnte (vgl. BGE 135 V 297 E. 5.1 und BGE 135 V 58 E. 3.4.3). Ein Abweichen vom Regelfall, wonach das Valideneinkommen grund­sätzlich anhand des zuletzt verdienten Lohnes zu bestimmen ist, kommt erst dann in Fra­ge, wenn - unter anderem - der tatsächlich er­ziel­te Verdienst deut­lich unter dem branchenüblichen Tabellenlohn gemäss den vom Bundesamt für Statistik herausgegebenen Lohnstrukturerhebungen (LSE) liegt (vgl. BGE 135 V 297 E. 6.1.1). Der Erheblichkeitsgrenzwert dieser Ab­weichung, ab welchem sich eine Parallelisierung der Ver­gleichs­ein­kommen (im Sinne von BGE 134 V 322 a.a.O.) rechtfertigen kann, wur­de vom Bundesgericht auf 5% festgesetzt. Dabei ist nur in dem Um­fang zu parallelisieren, in welchem die prozentuale Abwei­chung die­sen Erheblichkeitsgrenzwert übersteigt (vgl. BGE 135 V 297 E. 6.1.2 und 6.1.3).</w:t>
      </w:r>
    </w:p>
    <w:p>
      <w:r>
        <w:rPr>
          <w:b/>
        </w:rPr>
        <w:t>E. 7.1.3</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Hat die versicherte Person nach Eintritt des Gesundheitsschadens keine oder jedenfalls keine ihr an sich zumutbare neue Erwerbstätigkeit aufgenommen, so können nach der Rechtsprechung LSE-Tabellenlöhne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w:t>
      </w:r>
    </w:p>
    <w:p>
      <w:r>
        <w:rPr>
          <w:b/>
        </w:rPr>
        <w:t>E. 7.2</w:t>
      </w:r>
    </w:p>
    <w:p>
      <w:r>
        <w:t>Gemäss Angaben der Beschwerdeführerin sowie gemäss den Einträgen im individuellen Konto verdiente sie als Service-Angestellte Fr. 3'000.-- pro Monat. Die IVSTA ist von einem Valideneinkommen von Fr. 36'576.-- pro Jahr (entspricht Fr. 3'048.-- pro Monat) ausgegangen, was mangels Begründung durch die IVSTA zwar nicht nachvollziehbar ist, aber - wie nachfolgend aufzuzeigen sein wird - auf das Ergebnis keinen Einfluss hat. Beim Valideneinkommen ist vorliegend zu beachten, dass das im Jahr 2008 zuletzt effektiv erzielte Einkommen von Fr. 3'000.-- pro Monat im Vergleich zum Tabellenlohn gemäss LSE 2008, Tabelle TA1, Gastgewerbe, Niveau 4 von Fr. 3'647.-- (entspricht Fr. 3'829.35 bei 42 betriebsüblichen Wochenstunden) um 21,66% niedriger ist, weshalb eine Parallelisierung des Valideneinkommens durchzuführen ist (vgl. E. 7.1.2 hiervor). Nach Durch­führung der Parallelisierung (Erhöhung des Valideneinkommens von Fr. 3'000.-- um 16,66% [21,66% - 5%]) ist demzufolge von einem Valideneinkommen von Fr. 3'499.80 auszugehen.</w:t>
      </w:r>
    </w:p>
    <w:p>
      <w:r>
        <w:rPr>
          <w:b/>
        </w:rPr>
        <w:t>E. 7.3</w:t>
      </w:r>
    </w:p>
    <w:p>
      <w:r>
        <w:t>Das Invalideneinkommen als Mitarbeiterin für leichte Verweistätigkeiten, welche ihr gemäss medizinischer Einschätzung noch zumutbar sind, ist durch die Ermittlung des Durchschnitts für verschiedene Tätigkeiten gemäss LSE-Tabellen 2008, Tabelle TA1, Niveau 4, Zentralwert Frauen festzulegen. Es beträgt Fr. 4'116.-- bei einem Pensum von 40 Wochen­stunden und ist auf die durchschnittliche betriebliche Arbeitszeit aller Branchen im 2008 auf 41,6 Wochenstunden aufzurechnen, was Fr. 4'281.-- entspricht. Unter Berücksichtigung des Alters der Beschwerdeführerin sowie des Umstandes, dass diese nur angepasste und leichte Tätigkeiten verrichten kann, ist ihr ein leidensbedingter Abzug zu gewähren. Bei Berücksichtigung des maximal möglichen leidensbedingten Abzugs von 25% (vgl. E. 7.1.3 hiervor) würde somit ein Invalideneinkommen von (mindestens) Fr. 3'211.-- resultieren.</w:t>
      </w:r>
    </w:p>
    <w:p>
      <w:r>
        <w:rPr>
          <w:b/>
        </w:rPr>
        <w:t>E. 7.4</w:t>
      </w:r>
    </w:p>
    <w:p>
      <w:r>
        <w:t>Der Vergleich von Valideneinkommen (Fr. 3'499.80) und Invalideneinkommen (Fr. 3'211.--) ergäbe lediglich einen Invaliditätsgrad von (maximal) 8%, was keinen Anspruch auf eine Rente begründen würde. Somit kann vorliegend offenbleiben, ob der leidensbedingte Abzug im konkreten Fall auf 25% oder weniger festzusetzen ist.</w:t>
      </w:r>
    </w:p>
    <w:p>
      <w:r>
        <w:rPr>
          <w:b/>
        </w:rPr>
        <w:t>E. 7.5</w:t>
      </w:r>
    </w:p>
    <w:p>
      <w:r>
        <w:t>Zusammenfassend ist somit festzuhalten, dass die IVSTA das Leistungsbegehren der Beschwerdeführerin mangels rentenrelevanter Invalidität zu Recht abgewiesen hat. Die angefochtene Verfügung vom 12. Januar 2010 ist somit zu bestätigen und die Beschwerde ist abzuweisen.</w:t>
      </w:r>
    </w:p>
    <w:p>
      <w:r>
        <w:rPr>
          <w:b/>
        </w:rPr>
        <w:t>E. 8</w:t>
      </w:r>
    </w:p>
    <w:p>
      <w:r>
        <w:t>Zu befinden bleibt noch über die Verfahrenskosten und eine allfällige Parteientschädigung.</w:t>
      </w:r>
    </w:p>
    <w:p>
      <w:r>
        <w:rPr>
          <w:b/>
        </w:rPr>
        <w:t>E. 8.1</w:t>
      </w:r>
    </w:p>
    <w:p>
      <w:r>
        <w:t>Die Verfahrenskosten sind in der Regel der unterliegenden Partei aufzuerlegen. Unterliegt diese nur teilweise, so werden die Verfahrens­kosten ermässigt. Ausnahmsweise können sie ihr erlassen werden (Art. 63 Abs. 1 VwVG). Die unterliegende Beschwerdeführerin hat ein Gesuch um unentgeltliche Prozessführung eingereicht, welches aufgrund der Akten gutzuheissen ist. Es werden daher keine Ver­fahrenskosten erhoben.</w:t>
      </w:r>
    </w:p>
    <w:p>
      <w:r>
        <w:rPr>
          <w:b/>
        </w:rPr>
        <w:t>E. 8.2</w:t>
      </w:r>
    </w:p>
    <w:p>
      <w:r>
        <w:t>Der obsiegenden Partei kann von Amtes wegen oder auf Be­geh­ren eine Entschädigung für ihr erwachsene notwendige und verhältnis­mässig hohe Kosten zugesprochen werden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Die IVSTA hat somit keinen Anspruch auf Partei­entschädigung. Die nicht vertretene und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