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C-7065/2009 vom 21. Juni 2010</w:t>
      </w:r>
    </w:p>
    <w:p>
      <w:r>
        <w:t>Bundesverwaltungsgericht, 2010-06-21, DE</w:t>
      </w:r>
    </w:p>
    <w:p>
      <w:r>
        <w:rPr>
          <w:b/>
        </w:rPr>
        <w:t xml:space="preserve">Quelle: </w:t>
      </w:r>
      <w:r>
        <w:t>https://mcp.opencaselaw.ch/entscheid/bvger_C-7065_2009</w:t>
      </w:r>
    </w:p>
    <w:p>
      <w:r>
        <w:t>FR: TAF C-7065/2009 du 21 juin 2010</w:t>
      </w:r>
    </w:p>
    <w:p>
      <w:r>
        <w:t>IT: TAF C-7065/2009 del 21 giugno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BVGE 2009/27 E. 5.2 und E. 5.3).</w:t>
      </w:r>
    </w:p>
    <w:p>
      <w:r>
        <w:rPr>
          <w:b/>
        </w:rPr>
        <w:t>E. 5</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Die junge, von der Schweiz anerkannte Republik Kosovo ist, im Gegensatz zu dem in Anhang I erwähnten Gebiet des Kosovo im Sinne der Resolution 1244 des UN-Sicherheitsrats vom 10. Juni 1999 (vgl. Erwägungsgrund 4 und Art. 1 Abs. 1 der Verordnung [EG] Nr. 1244/2009 des Rates vom 30. November 2009 zur Änderung der Verordnung [EG] Nr. 539/2001, ABl. L 336 vom 18. Dezember 2009 S. 1 - 3), weder in Anhang I noch in Anhang II aufgeführt. Bewohner des Gebietes der Republik Kosovo sind somit, unabhängig von der Art ihres Reiseausweises, visumspflichtig.</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6.3.1</w:t>
      </w:r>
    </w:p>
    <w:p>
      <w:r>
        <w:t>Der Gesuchsteller lebt in der inzwischen unabhängigen und - wie bereits erwähnt -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zwar zeigte sich in den letzten Jahren ein starkes Wachstum, die Arbeitslosigkeit bleibt jedoch hartnäckig hoch. So sind mehr als die Hälfte der Erwerbsfähigen ohne oder zumindest ohne regelmässiges Einkommen. Zudem stellt die Armut ein weit verbreitetes Phänomen dar: Der Anteil der in Armut lebenden Bevölkerung liegt bei rund 45 %, wobei 17 % der Einwohner gar von extremer Armut betroffen sind (Quellen: Weltbank, www.worldbank.org &gt; Countries &gt; Kosovo &gt; Overview &gt; Country Brief 2010, Stand: April 2010; Deutsches Auswärtiges Amt, www.auswaertiges-amt.de &gt; Länder, Reisen und Sicherheit &gt; Kosovo &gt; Rubriken Wirtschafts- und Innenpolitik, Stand April 2010; beide Seiten besucht am 31. Mai 2010). Vor diesem Hintergrund besteht bei vielen Bürgern des Kosovo der Wunsch, ins Ausland zu gelangen, um sich unter günstigeren Lebensbedingungen eine bessere Existenz zu schaffen. Der Trend zeigt sich erfahrungsgemäss dort besonders stark, wo im Ausland durch die Anwesenheit von Verwandten oder Freunden bereits ein minimales soziales Beziehungsnetz besteht. Im Falle der Schweiz führt dies aufgrund der restriktiven ausländerrechtlichen Zulassungsregelungen nicht selten zur Umgehung ausländerrechtlicher Bestimmungen.</w:t>
      </w:r>
    </w:p>
    <w:p>
      <w:r>
        <w:rPr>
          <w:b/>
        </w:rPr>
        <w:t>E. 6.3.2</w:t>
      </w:r>
    </w:p>
    <w:p>
      <w:r>
        <w:t>Angesichts der schwierigen Lage im Herkunftsland des Gesuchstellers ist nicht zu beanstanden, dass die Vorinstanz das Risiko einer nicht fristgerechten Wiederausreise allgemein als hoch einschätzte.</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Beim Gesuchsteller handelt es sich um einen 19-jährigen, ledigen Mann. Soweit aus den Akten zu schliessen wohnt er bei seinem Vater. Auch wenn seine Mutter offenbar vor noch nicht langer Zeit gestorben ist, kann unter diesen Umständen zwar vom Bestand minimaler familiärer Verbindungen ausgegangen werden. Dass diese aber den Gesuchsteller wirksam davon abhalten könnten, den Entschluss für eine Emigration zu fassen, erscheint eher als unwahrscheinlich. Denn der Gesuchsteller ist jung, hat noch keine eigene Familie und ist nach seinem Schulabschluss auf Arbeitssuche. Tritt hinzu, dass schon die Schwester (die Gastgeberin) in die Schweiz emigriert ist und hier offenbar in begüterten Verhältnissen lebt. Das könnte den Gesuchsteller durchaus dazu verleiten, es ihr gleich tun zu wollen.</w:t>
      </w:r>
    </w:p>
    <w:p>
      <w:r>
        <w:rPr>
          <w:b/>
        </w:rPr>
        <w:t>E. 7.2</w:t>
      </w:r>
    </w:p>
    <w:p>
      <w:r>
        <w:t>Vor dem allgemeinen und persönlichen Hintergrund durfte die Vorinstanz demnach davon ausgehen, dass keine hinreichende Gewähr für eine fristgerechte und anstandslose Wiederausreise des Gesuchstellers nach einem Besuchsaufenthalt besteht. An dieser Beurteilung vermag auch die Zusicherung des Beschwerdeführers nichts zu ändern. Als Gastgeber können er und seine Ehefrau zwar für gewisse finanzielle Risiken im Zusammenhang mit dem Besuchsaufenthalt, aus nahe liegenden Gründen aber nicht für ein bestimmtes Verhalten ihres Gastes garantieren. Denn bei der Abwägung des Risikos einer nicht fristgerechten Wiederausreise ist naturgemäss nicht so sehr die Haltung der Gastgeber, sondern in erster Linie das mögliche Verhalten des Gastes selbst von Bedeutung. Nur Letzterer ist in der Lage, hinreichend Gewähr für seine Rückkehrbereitschaft zu bieten (BVGE 2009/27 E. 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