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C-7063/2013 vom 11. März 2014</w:t>
      </w:r>
    </w:p>
    <w:p>
      <w:r>
        <w:t>Bundesverwaltungsgericht, 2014-03-11, DE</w:t>
      </w:r>
    </w:p>
    <w:p>
      <w:r>
        <w:rPr>
          <w:b/>
        </w:rPr>
        <w:t xml:space="preserve">Quelle: </w:t>
      </w:r>
      <w:r>
        <w:t>https://mcp.opencaselaw.ch/entscheid/bvger_C-7063_2013</w:t>
      </w:r>
    </w:p>
    <w:p>
      <w:r>
        <w:t>FR: TAF C-7063/2013 du 11 mars 2014</w:t>
      </w:r>
    </w:p>
    <w:p>
      <w:r>
        <w:t>IT: TAF C-7063/2013 del 11 marzo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BVGE 2011/1 E. 2).</w:t>
      </w:r>
    </w:p>
    <w:p>
      <w:r>
        <w:rPr>
          <w:b/>
        </w:rPr>
        <w:t>E. 3</w:t>
      </w:r>
    </w:p>
    <w:p>
      <w:r>
        <w:t>Der angefochtenen Verfügung liegen die Gesuche philippinischer Staatsangehörigen um Erteilung eines Visums für einen 30-tägigen Aufenthalt in der Schweiz zugrunde. Da sich die Gesuchsteller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Bürger von Drittstaaten dürfen über die Aussengrenzen des Schen­gen-Raums für einen Aufenthalt von höchstens 90 Tagen je Zeitraum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4.6</w:t>
      </w:r>
    </w:p>
    <w:p>
      <w:r>
        <w:t>Aufgrund ihrer philippinischen Staatsangehörigkeit unterliegen die Gesuchsteller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des Gesuchstellers als nicht genügend gesichert. Zur Einschätzung entsprechender Risiken sind sämtliche Umstände des konkreten Einzelfalles zu würdigen.</w:t>
      </w:r>
    </w:p>
    <w:p>
      <w:r>
        <w:rPr>
          <w:b/>
        </w:rPr>
        <w:t>E. 4.7</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5.1 Die philippinische Wirtschaft weist die für viele Entwicklungsländer typische Zweiteilung auf: Moderne Elektronik-Industrie und boomender Dienstleistungssektor auf der einen Seite, Armut und Subsistenzlandwirtschaft andererseits. Die Wachstumsaussichten für die nächsten Jahre sind grundsätzlich vielversprechend. Insbesondere sind die Staatsfinanzen und der private Finanzsektor in einer sehr stabilen Verfassung und sollten selbst stärkeren weltwirtschaftlichen Turbulenzen widerstehen können. Trotz der grundsätzlich positiven wirtschaftlichen Entwicklung in den Philippinen sind jedoch dort nach wie vor breite Bevölkerungsschichten von kargen ökonomischen und sozialen Lebensbedingungen betroffen (Quelle: Webseite des deutschen Auswärtigen Amtes: www.auswaertiges-amt.de, Aussen- und Europapolitik &gt; Länderinformationen &gt; Länder A-Z &gt; Philippinen &gt; Wirtschaft, Stand: April 2013 &gt; Seite besucht im Februar 2014). 5.2 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 5.3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6.1 Beide Gesuchsteller (geb. 1990 bzw. 1991) sind kinderlos und unverheiratet. Im Auskunftsbogen vom 6. Mai 2013 führt die Beschwerdeführerin aus, ihre Söhne würden noch bei ihrer Schwester in Laguna leben. In ihrer Replik machen die Beschwerdeführenden nun ergänzend geltend, sie hätten mittlerweile anlässlich eines Ferienaufenthaltes vom 15. bis 31. Januar 2014 in der Heimat der Gastgeberin ein Einfamilienhaus erworben, in welches die beiden jungen Männer nun einziehen würden. Eine Anzahlung von ca. Fr. 17'000.- sei bereits geleistet worden. Beweismässig unterlegt wurden diese Aussagen durch Einreichung des Kaufvertrags, eines Dokuments betreffend Zusammenstellung der Finanzierung und des Zahlungsvertrags (je in Kopieform) sowie durch zwei Fotos der Liegenschaft. 6.2 Die wirtschaftlichen Verhältnisse der beiden Brüder stellen sich gemäss den Akten wie folgt dar: Der Gesuchsteller 1 arbeitet seit dem 28. Februar 2012 als Kellner bei C._______ und verdient dort monatlich 11'856 PHP (ca. Fr. 235.-; vgl. Schreiben C._______ vom 12. Februar 2013). Der Beschwerde beigelegt wurden überdies drei Lohnabrechnungen. Es ist somit nicht von der Hand zu weisen, dass der Gesuchsteller 1 seit rund zwei Jahren einer Arbeit nachgeht und damit ein regelmässiges Einkommen zur Deckung seines Lebensunterhaltes erzielt. Kommt hinzu, dass sein erzielter Lohn das monatliche philippinische Durchschnittseinkommen von 184.00 USD (ca. Fr. 163.-) übersteigt (vgl.http://durchschnittseinkommen.net/durchschnittsein-kommen-philippinen, besucht im Februar 2014). Gemäss den Akten schloss der Gesuchsteller 2 sein Studium am San Pedro College of Business Administration am 13. April 2013 ab (vgl. Auskunftsbogen vom 6. Mai 2013; Student Copy 16. November 2012). Nachdem er unmittelbar nach Beendigung seines Studiums noch über keine Arbeit verfügte, ist er nun seit Juni 2013 als "Project Officer" tätig und verdient damit monatlich 17'500 PHP brutto (vgl. Bestätigung der D._______ vom 21. Oktober 2013 sowie Lohnabrechungen vom September bis November 2013). Zu den Akten gelegt wurden zudem auch die Bestätigungen beider Arbeitgeber, den Gesuchstellern für den 30-tägigen Aufenthalt in der Schweiz Urlaub zu bewilligen (vgl. Certification D._______ vom 21. Oktober 2013 sowie Certification C._______ vom 18. Oktober 2013). Kommt hinzu, dass die Vorinstanz durch die schweizerische Auslandvertretung weitere Abklärungen durchführen liess. In diesem Rahmen wurden die Arbeitgeber beider Gesuchsteller kontaktiert. Dabei bestätigten jene erneut, dass den Gesuchstellern für den Aufenthalt in der Schweiz maximal ein Monat Urlaub gewährt werde (vgl. E-Mails vom 11. November 2013 bzw. 12 November 2013). Mit diesen Ausführungen kann davon ausgegangen werden, die Gesuchsteller lebten in wirtschaftlich erträglichen und soliden Verhältnissen, zumal sich nun auch ihre Wohnsituation dadurch verändert hat, dass die Beschwerdeführenden für sie ein Haus in San Pedro, Laguna erworben haben. Es kann somit vorliegend nicht von Lebensverhältnissen ausgegangen werden, die unmittelbar auf vorhandene Emigrationsabsichten hinweisen. 6.3 Nicht unbeachtlich ist zudem auch der Umstand, dass es sich bei den Gesuchstellern um die Söhne der Beschwerdeführerin handelt, welche seit 4 Jahren in der Schweiz lebt. Die Gastgeber weisen damit beschwerdeweise zu Recht daraufhin, es bestehe ein naheliegendes Bedürfnis der Gesuchsteller, einmal das Lebensumfeld ihrer Mutter kennenzulernen.</w:t>
      </w:r>
    </w:p>
    <w:p>
      <w:r>
        <w:rPr>
          <w:b/>
        </w:rPr>
        <w:t>E. 7</w:t>
      </w:r>
    </w:p>
    <w:p>
      <w:r>
        <w:t>Die aufgezeigten Verhältnisse lassen bei den Gesuchstellern auf eine genügende Gewähr für lautere Absichten bzw. die Wahrscheinlichkeit regelkonformen Verhaltens schliessen. Auch wenn das Risiko für eine Missachtung ausländerrechtlicher Normen nie gänzlich ausgeschlossen werden kann, erscheint es vorliegend doch als gering. Es ist mit anderen Worten nicht davon auszugehen, es bestünden Hinderungsgründe dieser Art gemäss Art. 5 SGK bzw. Art. 5 AuG für die Erteilung des beantragten Visums.</w:t>
      </w:r>
    </w:p>
    <w:p>
      <w:r>
        <w:rPr>
          <w:b/>
        </w:rPr>
        <w:t>E. 8</w:t>
      </w:r>
    </w:p>
    <w:p>
      <w:r>
        <w:t>In ihrer Verfügung vom 14. November 2013 macht die Vorinstanz des Weiteren geltend, die erforderlichen finanziellen Garantien der Gastgeber würden durch die kantonalen Behörden weiterhin angezweifelt. Die Vorinstanz verzichtete hingegen auf eine abschliessende Prüfung der finanziellen Mittel der Gastgeber, da die Voraussetzungen zur Erteilung des beantragten Schengen-Visums ohnehin nicht erfüllt seien. Vollständigkeitshalber gilt es hingegen darauf hinzuweisen, dass man aufgrund der Akten und der beschwerdeweise getätigten Ausführungen nicht ohne Weiteres darauf schliessen kann, die Gastgeber könnten die finanziellen Garantien nicht erbringen. So wird denn auch erneut geltend gemacht, die Gastgeberin arbeite zu 60% bei E._______ und arbeite zusätzlich 6 Stunden pro Woche als Putzfrau. Der Beschwerdeführer führe eine Garage und erhalte zusätzlich AHV-Leistungen. Zudem wird ausgeführt, der Beschwerdeführer sei daran, seine Erwerbstätigkeit als Garagist einzustellen und seinen Betrieb zu verkaufen. In diesem Zusammenhang habe er von seinem Nachfolger bereits Teilkaufzahlungen erhalten. Sein Geschäftskonto weise per 5. Dezember 2013 einen Aktivsaldo von Fr. 156'981.77 auf. Die Beschwerdeführerin besitze ihrerseits auf ihrem Bankkonto ein Guthaben von Fr. 24'319.82. Die Steuern 2010 bis 2012 seien beglichen worden. Zudem seien auch die provisorischen Steuern für das laufende Jahr bereits beglichen worden. Belegt werden diese Vorbringen mittels Kopien von Bankauszügen und einer Steuerrechnung/-quittung des Jahres 2013.</w:t>
      </w:r>
    </w:p>
    <w:p>
      <w:r>
        <w:rPr>
          <w:b/>
        </w:rPr>
        <w:t>E. 9</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auch die übrigen in Art. 5 SGK genannten Einreisevoraussetzungen erfüllt sind (vgl. dazu auch E. 8) oder allenfalls gemäss Art. 2 Abs. 4 VEV ein Visum mit räumlich beschränkter Gültigkeit zu erteilen ist. 10.1 Bei diesem Ausgang des Verfahrens sind keine Kosten aufzuerlegen (Art. 63 Abs. 1 e contrario und 2 VwVG) und der geleistete Kosten­vorschuss ist zurückzuerstatten. 10.2 Die Beschwerdeführenden haben gemäss Art. 64 Abs. 1 VwVG Anrecht auf eine Parteientschädigung für die ihnen erwachsenen notwendigen Kosten (vgl. auch Art. 7 ff. des Reglements vom 21. Februar 2008 über die Kosten und Entschädigungen vor dem Bundesverwaltungsgericht [VGKE, SR 173.320.2]). Diese Entschädigung geht zu Lasten der Vorinstanz (vgl. Art. 64 Abs. 2 VwVG). Es wurde keine Kostennote eingereicht, so dass das Gericht die Parteientschädigung aufgrund der Akten festsetzt (vgl. Art. 14 VGKE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