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C-7058/2009 vom 25. August 2010</w:t>
      </w:r>
    </w:p>
    <w:p>
      <w:r>
        <w:t>Bundesverwaltungsgericht, 2010-08-25, FR</w:t>
      </w:r>
    </w:p>
    <w:p>
      <w:r>
        <w:rPr>
          <w:b/>
        </w:rPr>
        <w:t xml:space="preserve">Quelle: </w:t>
      </w:r>
      <w:r>
        <w:t>https://mcp.opencaselaw.ch/entscheid/bvger_C-7058_2009</w:t>
      </w:r>
    </w:p>
    <w:p>
      <w:r>
        <w:t>FR: TAF C-7058/2009 du 25 août 2010</w:t>
      </w:r>
    </w:p>
    <w:p>
      <w:r>
        <w:t>IT: TAF C-7058/2009 del 25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loi fédérale du 16 décembre 2005 sur les étrangers (LEtr, RS 142.20) et ayant fait l'objet d'une interdiction d'entrée sont en principe inscrites aux fins de non-admission dans le Système d'information Schengen (ci-après : SIS ; cf. art. 92 ss CAAS et arrêt du Tribunal administratif fédéral C-5261/2009 du 19 juillet 2010 consid. 2.1). En revanche, un étranger titulaire d'un titre de séjour en cours de validité délivré par un Etat partie à l'accord de Schengen n'est signalé aux fins de non-admission dans le SIS que s'il y a des motifs suffisants pour lui retirer son titre de séjour. En cas contraire, l'Etat signalant peut inscrire l'étranger sur sa liste nationale de signalement (cf. art. 25 par. 2 CAAS). Tel est le cas de la recourante, laquelle séjourne valablement en Belgique depuis 2008. L'interdiction d'entrée prise à son encontre ne s'étend par conséquent qu'au territoire helvétique et non à tout l'Espace Schengen.</w:t>
      </w:r>
    </w:p>
    <w:p>
      <w:r>
        <w:rPr>
          <w:b/>
        </w:rPr>
        <w:t>E. 3.1</w:t>
      </w:r>
    </w:p>
    <w:p>
      <w:r>
        <w:t>L'interdiction d'entrée, qui permet d'empêcher l'entrée ou le retour en Suisse (et dans l'Espace Schengen, cf. consid. 2 supra)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concernant la loi sur les étrangers du 8 mars 2002, FF 2002 p. 3568 ; cf. arrêt du Tribunal administratif fédéral C-707/2008 du 18 mars 2009 consid. 4.1). L'interdiction d'entrée est limitée dans le temps ; elle est prononcée pour une durée illimitée dans les cas graves (cf. art. 67 al. 3 LEtr). Elle peut être suspendue provisoirement pour des raisons majeures (cf. art. 67 al. 4 LEtr).</w:t>
      </w:r>
    </w:p>
    <w:p>
      <w:r>
        <w:rPr>
          <w:b/>
        </w:rPr>
        <w:t>E. 3.2</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p.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 (cf. arrêt du Tribunal administratif fédéral C-2306/2008 du 13 octobre 2009 consid. 3.2 et références citées). 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être en mesure d'établir un pronostic défavorable à ce sujet pour pouvoir la prononcer. Un tel pronostic ne devrait en principe pas être possible lorsque les motifs qui ont conduit l'intéressé à mal agir ont disparu (cf. MARC SPESCHA in Migrationsrecht, Kommentar, MARC SPESCHA/HANSPETER THÜR/ANDREAS ZÜND/PETER BOLZLI [éd.], Zurich 2008, ad art. 67 n° 2 p. 148). Lorsque des infractions sont commises à l'étranger, une interdiction d'entrée en Suisse peut être prononcée à titre préventif s'il existe un rapport sur ce point avec la Suisse (cf. message précité, FF 2002 p. 3568s.).</w:t>
      </w:r>
    </w:p>
    <w:p>
      <w:r>
        <w:rPr>
          <w:b/>
        </w:rPr>
        <w:t>E. 3.3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ch. 8.80 p. 356).</w:t>
      </w:r>
    </w:p>
    <w:p>
      <w:r>
        <w:rPr>
          <w:b/>
        </w:rPr>
        <w:t>E. 4</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 TAF n'est pas lié par les motifs que les parties invoquent et peut admettre le recours pour d'autres raisons que celles avancées par le recourant ou, au contraire, confirmer la décision attaquée pour d'autres motifs que ceux retenus par l'autorité intimée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Gygi, Bundesverwaltungsrechtspflege, Berne 1983, p. 212).</w:t>
      </w:r>
    </w:p>
    <w:p>
      <w:r>
        <w:rPr>
          <w:b/>
        </w:rPr>
        <w:t>E. 5</w:t>
      </w:r>
    </w:p>
    <w:p>
      <w:r>
        <w:t>En l'occurrence, l'ODM a prononcé à l'endroit de A._______ une interdiction d'entrée en Suisse en application de l'art. 67 al. 1 let. a LEtr, alors que la prénommée, ressortissante camerounaise, est titulaire en Belgique d'une "carte de séjour de membre de la famille d'un citoyen de l'union" en sa qualité d'épouse d'un citoyen belge. Or, en vertu de l'art 2 al. 2 LEtr, cette loi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(ci-après: ALCP, RS 0.142.112.681) n'en dispose pas autrement ou si la présente loi prévoit des dispositions plus favorables. Aussi, bien que la recourante ne se soit nullement prévalue de l'ALCP pour contester la décision d'interdiction d'entrée du 13 octobre 2009, le Tribunal examinera également si le prononcé de l'ODM se fonde sur des motifs d'ordre public justifiant une dérogation au principe de libre circulation des personnes consacré par l'ALCP.</w:t>
      </w:r>
    </w:p>
    <w:p>
      <w:r>
        <w:rPr>
          <w:b/>
        </w:rPr>
        <w:t>E. 6</w:t>
      </w:r>
    </w:p>
    <w:p>
      <w:r>
        <w:t>En l'espèce, Mireilla Ayangma a fait l'objet d'un contrôle de police le 9 octobre 2009, alors qu'elle se trouvait dans un endroit réputé de prostitution à Fribourg. Bien qu'elle ait nié s'être prostituée, les explications qu'elle a fournies au sujet de sa présence dans ces lieux n'emportent guère la conviction du Tribunal. Il apparaît en effet peu crédible que l'intéressée ait entrepris le long déplacement de Brugg à Fribourg dans le seul but de se faire coiffer par une personne qu'elle n'a pas rencontrée à son arrivée et qu'elle aurait ensuite vainement attendue pendant plusieurs heures dans un immeuble de la Grand-Fontaine. De plus, les allégations de la recourante, selon lesquelles elle ignorait se trouver dans un endroit voué à la prostitution sont particulièrement peu crédibles, dès lors qu'elle avait, selon ses propres déclarations, passé la soirée à discuter avec "les filles" dans l'attente de l'arrivée de la dénommée "B._______". Le Tribunal constate enfin et surtout que, dans son complément d'information au SPOMI du 14 octobre 2009, la brigade des moeurs de la police cantonale fribourgeoise a précisé que l'habillement et le comportement de A._______ lors de son interpellation à la Grand-Fontaine à Fribourg ne laissait planer aucun doute quant à la raison de sa présence sur place, appréciation que le Tribunal n'a aucune raison de remettre en cause. Dans ces circonstances, il y a lieu de considérer, avec une vraisemblance confinant à la certitude, que la recourante a été découverte à Fribourg dans l'exercice d'une activité professionnelle sans autorisation et que cette infraction est constitutive d'une atteinte à la sécurité et à l'ordre publics au sens de l'art. 67 al. 1 let. a LEtr. En conséquence, la décision d'interdiction d'entrée prononcée par l'ODM est justifiée dans son principe au regard du droit interne.</w:t>
      </w:r>
    </w:p>
    <w:p>
      <w:r>
        <w:rPr>
          <w:b/>
        </w:rPr>
        <w:t>E. 7</w:t>
      </w:r>
    </w:p>
    <w:p>
      <w:r>
        <w:t>Dans la mesure où A._______ est l'épouse d'un citoyen de l'un des Etats membres de la Communauté européenne (CE), il importe de surcroît de vérifier si la mesure d'éloignement prononcée le 13 octobre 2009 est conforme à l'ALCP.</w:t>
      </w:r>
    </w:p>
    <w:p>
      <w:r>
        <w:rPr>
          <w:b/>
        </w:rPr>
        <w:t>E. 7.1</w:t>
      </w:r>
    </w:p>
    <w:p>
      <w:r>
        <w:t>Comme rappelé supra (consid. 5), en vertu de l'art. 2 al. 2 LEtr, cette loi et, donc, l'art. 67 al. 1 let. a LEtr, sur lequel repose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176 consid. 3.1]). En vertu de l'art. 3 par. 1 et 2 annexe I de l'ALCP, les membres de la famille (tel le conjoint ou la conjointe) d'une personne ressortissant d'une partie contractante ayant un droit de séjour ont le droit de s'installer avec elle. Par ailleurs, selon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sauf aux membres de la famille [...] qui ne possèdent pas la nationalité d'une partie contractante. Comme l'ensemble des autres droits octroyés par l'Accord, ce droit ne peut être limité que par des mesures d'ordre ou de sécurité publics, au sens de l'art. 5 al. 1 annexe I ALCP. Dans le cas d'espèce, le Tribunal observe que la question à trancher, en l'état et compte tenu du cadre du présent litige, est limitée à l'interdiction d'entrée en Suisse, se pose uniquement dans l'optique d'une autorisation d'entrer sur le territoire suisse au sens de l'art. 3 ALCP et non pas dans celle d'un regroupement familial. Il convient certes de relever à cet égard que la recourante ne dispose que d'un droit dérivé à la libre circulation en sa qualité d'épouse d'un citoyen de l'un des Etats membres de la CE, alors que ce dernier bénéficie d'un droit originaire. Elle peut cependant se prévaloir de l'ALCP, dans la mesure où la décision attaquée la prive de la possibilité de suivre son époux dans ses éventuels déplacements en Suisse.</w:t>
      </w:r>
    </w:p>
    <w:p>
      <w:r>
        <w:rPr>
          <w:b/>
        </w:rPr>
        <w:t>E. 7.2</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w:t>
      </w:r>
    </w:p>
    <w:p>
      <w:r>
        <w:rPr>
          <w:b/>
        </w:rPr>
        <w:t>E. 7.3</w:t>
      </w:r>
    </w:p>
    <w:p>
      <w:r>
        <w:t>En l'espèce, il apparaît que les faits retenus à la charge de la recourante se limitent à l'exercice d'une activité professionnelle non autorisée, mais qu'il ne ressort pas du dossier que celle-ci aurait fait l'objet de condamnations antérieures, ni qu'elle aurait par ailleurs défavorablement attiré l'attention des autorités suisses par son comportement dans ce pays. Dans ces circonstances, le Tribunal considère que A._______ ne présente pas, en l'état, une menace réelle et actuelle pour l'ordre public au sens de l'art. 5 al. 1 Annexe I ALCP. Il en découle que la décision d'interdiction d'entrée du 13 octobre 2009 ne satisfait pas aux conditions habilitant l'autorité à déroger au principe de libre circulation des personnes consacré par l'ALCP et que cette décision doit en conséquence être levée avec effet immédiat (cf. à cet égard l'arrêt du Tribunal administratif fédéral C-7549/2008 du 23 août 2010 consid. 7.4).</w:t>
      </w:r>
    </w:p>
    <w:p>
      <w:r>
        <w:rPr>
          <w:b/>
        </w:rPr>
        <w:t>E. 8</w:t>
      </w:r>
    </w:p>
    <w:p>
      <w:r>
        <w:t>Il ressort de ce qui précède que la décision prononcée par l'ODM le 13 octobre 2009 n'est pas conforme au droit (cf. art. 49 let. a PA) et que le recours doit en conséquence être admis. Obtenant gain de cause, la recourante n'a pas à supporter les frais de procédure (art. 63 al. 1 PA a contrario) et a droit à des dépens (art.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ainsi que du fait que l'admission du recours est exclusivement fondée sur l'application de l'ALCP et ne découle pas du mérite du recours, dont l'argumentaire se limite à l'application de l'art. 67 LEtr, le Tribunal estime, au regard des art. 8 ss FITAF, que le versement d'un montant de Fr. 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