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C-704/2007 vom 15. Februar 2008</w:t>
      </w:r>
    </w:p>
    <w:p>
      <w:r>
        <w:t>Bundesverwaltungsgericht, 2008-02-15, DE</w:t>
      </w:r>
    </w:p>
    <w:p>
      <w:r>
        <w:rPr>
          <w:b/>
        </w:rPr>
        <w:t xml:space="preserve">Quelle: </w:t>
      </w:r>
      <w:r>
        <w:t>https://mcp.opencaselaw.ch/entscheid/bvger_C-704_2007</w:t>
      </w:r>
    </w:p>
    <w:p>
      <w:r>
        <w:t>FR: TAF C-704/2007 du 15 février 2008</w:t>
      </w:r>
    </w:p>
    <w:p>
      <w:r>
        <w:t>IT: TAF C-704/2007 del 15 febbraio 2008</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85bis Abs. 1 des Bundesgesetzes vom 20. Dezember 1946 über die Alters- und Hinterlassenenversicherung (AHVG, SR 831.10) beurteilt das Bundesverwaltungsgericht Beschwerden gegen Verfügungen nach Art. 5 des Bundesgesetzes vom 20. Dezember 1968 über das Verwaltungsverfahren (VwVG, SR 172.021), sofern wie hier keine Ausnahme nach Art. 32 VGG vorliegt. Als Vorinstanzen gelten die in Art. 33 und 34 VGG genannten Behörden. Dazu gehören nach Art. 33 Bst. d VGG Verfügungen betreffend AHV-Renten von Personen mit Wohnsitz im Ausland (Art. 62 AHVG).</w:t>
      </w:r>
    </w:p>
    <w:p>
      <w:r>
        <w:rPr>
          <w:b/>
        </w:rPr>
        <w:t>E. 1.2</w:t>
      </w:r>
    </w:p>
    <w:p>
      <w:r>
        <w:t>Aufgrund von Art. 3 Bst. dbis VwVG findet das VwVG keine Anwendung in Sozialversicherungssachen, soweit das Bundesgesetz vom 6. Oktober 2000 über den Allgemeinen Teil des Sozialversicherungsrechts (ATSG, SR 830.1)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 wurde im Übrigen form- und fristgerecht eingereicht (Art. 52 VwVG).</w:t>
      </w:r>
    </w:p>
    <w:p>
      <w:r>
        <w:rPr>
          <w:b/>
        </w:rPr>
        <w:t>E. 2</w:t>
      </w:r>
    </w:p>
    <w:p>
      <w:r>
        <w:t>Nicht strittig ist, dass die Berechnung der Rente gemäss angefochtener Verfügung vom 12. Oktober 2006 und Einspracheentscheid vom 12. Januar 2007 grundsätzlich gesetzeskonform ist. Die Beschwerdeführerin beruft sich indes auf die fehlerhafte prognostische Rentenberechnung vom 7. Januar 2005 und damit auf Treu und Glauben.</w:t>
      </w:r>
    </w:p>
    <w:p>
      <w:r>
        <w:rPr>
          <w:b/>
        </w:rPr>
        <w:t>E. 3.1</w:t>
      </w:r>
    </w:p>
    <w:p>
      <w:r>
        <w:t>Das ATSG regelt nur die Wiedererwägung rechtskräftiger Verfügungen ausdrücklich. Diesbezüglich hält Art. 53 Abs. 2 ATSG fest, dass Versicherungsträger auf rechtskräftige Verfügungen zurückkommen können, wenn diese zweifellos unrichtig sind und wenn ihre Berichtigung von erheblicher Bedeutung ist (vgl. BGE 127 V 14 und 469 sowie 125 V 383). Diese Voraussetzungen müssen kumulativ erfüllt sein.</w:t>
      </w:r>
    </w:p>
    <w:p>
      <w:r>
        <w:rPr>
          <w:b/>
        </w:rPr>
        <w:t>E. 3.2</w:t>
      </w:r>
    </w:p>
    <w:p>
      <w:r>
        <w:t>Nicht gesetzlich geregelt ist die Bindungswirkung fehlerhafter Auskünfte. Die Rechtsprechung hat diesbezüglich indes - direkt gestützt auf verfassungsmässige Rechte - Grundsätze betreffend den Vertrauensschutz, insbesondere den hier in Frage stehenden Schutz des Vertrauens in fehlerhafte Auskünfte entwickelt (vgl. BGE 112 V 124 und 121 V 34; Näheres hinten, E. 4).</w:t>
      </w:r>
    </w:p>
    <w:p>
      <w:r>
        <w:rPr>
          <w:b/>
        </w:rPr>
        <w:t>E. 3.3</w:t>
      </w:r>
    </w:p>
    <w:p>
      <w:r>
        <w:t>Der Regelung von Art. 53 Abs. 2 ATSG kann indirekt entnommen werden, dass, wenn sogar auf rechtskräftige Verfügungen zurückgekommen werden kann, unter den gleichen Voraussetzungen umso mehr auch auf Vorbescheide zurückgekommen werden kann, wenn diese zweifellos unrichtig sind und eine Berichtigung von erheblicher Bedeutung ist. Dies insbesondere, wenn Vorbescheide ausdrücklich als unverbindlich erklärt werden. Damit ist allerdings noch nichts darüber gesagt, ob allenfalls aufgrund der Regeln über den Vertrauensschutz an der fehlerhaften Regelung festzuhalten ist.</w:t>
      </w:r>
    </w:p>
    <w:p>
      <w:r>
        <w:rPr>
          <w:b/>
        </w:rPr>
        <w:t>E. 3.4</w:t>
      </w:r>
    </w:p>
    <w:p>
      <w:r>
        <w:t>Im Sinne von Art. 53 Abs. 2 ATSG geht die Rechtsprechung davon aus, dass bei Verfügungen betreffend Dauerleistungen schon bei geringfügigen Korrekturen eine erhebliche Bedeutung an einer Wiedererwägung zweifellos unrichtiger Verfügungen besteht (vgl. BGE 132 V 412, unter Hinweis auf Ueli Kieser, ATSG-Kommentar, Zürich 2003, Art. 53 Rz. 21; die Erheblichkeitsgrenze liegt bei einigen Hundert Franken, was bei Dauerleistungen auch bei geringfügigen monatlichen Unterschieden gegeben sein kann vgl. BGE 103 V 128]).</w:t>
      </w:r>
    </w:p>
    <w:p>
      <w:r>
        <w:rPr>
          <w:b/>
        </w:rPr>
        <w:t>E. 4.1</w:t>
      </w:r>
    </w:p>
    <w:p>
      <w:r>
        <w:t>Der Anspruch auf Behandlung nach Treu und Glauben umfasst einerseits den Vertrauensschutz und andererseits das Verbot des Rechtsmissbrauchs. Der hier angesprochene Vertrauensschutz ist in Art. 9 der Schweizerischen Bundesverfassung vom 18. April 1999 (BV, SR 101) verankert. Wie das Bundesgericht konkretisiert hat, verleiht der in Art. 9 BV enthaltene Grundsatz von Treu und Glauben Anspruch auf Schutz des berechtigten Vertrauens in behördliche Zusicherungen oder sonstiges, bestimmte Erwartungen begründendes Verhalten der Behörden (BGE 126 II 377 E. 3a S. 387; 122 II 113 E. 3b/cc S. 123, je mit Hinweisen).</w:t>
      </w:r>
    </w:p>
    <w:p>
      <w:r>
        <w:rPr>
          <w:b/>
        </w:rPr>
        <w:t>E. 4.2</w:t>
      </w:r>
    </w:p>
    <w:p>
      <w:r>
        <w:t>Behördliche Auskünfte können nach dem Grundsatz von Treu und Glauben Rechtswirkungen entfalten, wenn wie hier eine in der Sache zuständige die Behörde in einer konkreten Situation mit Bezug auf bestimmte Personen gehandelt hat. Die Betroffenen dürfen indes die Unrichtigkeit der Auskunft nicht ohne weiteres erkennen können und müssen im Vertrauen auf die Richtigkeit der Auskunft Dispositionen getroffen haben, die nicht ohne Nachteil rückgängig gemacht werden können (vgl. BGE 131 V 472 E. 5).</w:t>
      </w:r>
    </w:p>
    <w:p>
      <w:r>
        <w:rPr>
          <w:b/>
        </w:rPr>
        <w:t>E. 4.3</w:t>
      </w:r>
    </w:p>
    <w:p>
      <w:r>
        <w:t>Vorliegend steht fest, dass die Vorinstanz der Beschwerdeführerin eine fehlerhafte Auskunft erteilte, obwohl ihr alle Unterlagen für eine korrekte Auskunft zur Verfügung standen. Dazu kommt, dass für die Beschwerdeführerin die Unrichtigkeit der Auskunft nicht erkennbar war beziehungsweise erkennbar sein musste.</w:t>
      </w:r>
    </w:p>
    <w:p>
      <w:r>
        <w:rPr>
          <w:b/>
        </w:rPr>
        <w:t>E. 4.4</w:t>
      </w:r>
    </w:p>
    <w:p>
      <w:r>
        <w:t>Die Beschwerdeführerin hat daher unbesehen der Fehlerhaftigkeit der provisorischen Rentenberechnung insoweit Anspruch auf Vertrauensschutz, als sie Dispositionen getroffen hat, die ohne Nachteil nicht mehr rückgängig zu machen sind. Diese Disposition liegt vorliegend in der Ausübung des Wahlrechts, die Altersrente um ein Jahr vorzubeziehen. Es leuchtet ein, dass der verhältnismässig grosse Unterschied der monatlichen Renten gemäss provisorischer Rentenberechnung und Rentenverfügung - wie die Beschwerdeführerin geltend macht - zu einem anderen Entscheid hinsichtlich Vorbezug der Rente geführt hätte.</w:t>
      </w:r>
    </w:p>
    <w:p>
      <w:r>
        <w:rPr>
          <w:b/>
        </w:rPr>
        <w:t>E. 4.5</w:t>
      </w:r>
    </w:p>
    <w:p>
      <w:r>
        <w:t>Nicht geändert werden kann demgegenüber - wie dargelegt - die Höhe der Rente als solche.</w:t>
      </w:r>
    </w:p>
    <w:p>
      <w:r>
        <w:rPr>
          <w:b/>
        </w:rPr>
        <w:t>E. 5</w:t>
      </w:r>
    </w:p>
    <w:p>
      <w:r>
        <w:t>Die Beschwerde ist daher teilweise gutzuheissen und die Sache an die Vorinstanz zurückzuweisen. Die Vorinstanz hat der Beschwerdeführerin die Gelegenheit zu geben, anstelle des Vorbezugs den ordentlichen Rentenbeginn zu wählen, und gestützt auf die dann von der Beschwerdeführerin getroffene Wahl neu zu verfügen, wobei für die Rückerstattung bzw. Verrechnung bereits bezogener Leistungen angemessene Regelungen zu treffen sind.</w:t>
      </w:r>
    </w:p>
    <w:p>
      <w:r>
        <w:rPr>
          <w:b/>
        </w:rPr>
        <w:t>E. 6</w:t>
      </w:r>
    </w:p>
    <w:p>
      <w:r>
        <w:t>Es werden keine Verfahrenskosten erhoben (Art. 85bis Abs. 2 AHVG). Der Beschwerdeführerin, welcher durch die Beschwerdeführung keine notwendigen und verhältnismässig hohen Kosten erwachsen sind, wird keine Parteientschädigung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