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C-7045/2007 vom 16. April 2008</w:t>
      </w:r>
    </w:p>
    <w:p>
      <w:r>
        <w:t>Bundesverwaltungsgericht, 2008-04-16, FR</w:t>
      </w:r>
    </w:p>
    <w:p>
      <w:r>
        <w:rPr>
          <w:b/>
        </w:rPr>
        <w:t xml:space="preserve">Quelle: </w:t>
      </w:r>
      <w:r>
        <w:t>https://mcp.opencaselaw.ch/entscheid/bvger_C-7045_2007</w:t>
      </w:r>
    </w:p>
    <w:p>
      <w:r>
        <w:t>FR: TAF C-7045/2007 du 16 avril 2008</w:t>
      </w:r>
    </w:p>
    <w:p>
      <w:r>
        <w:t>IT: TAF C-7045/2007 del 16 aprile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Tribunal administratif fédéral,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1.4</w:t>
      </w:r>
    </w:p>
    <w:p>
      <w:r>
        <w:t>La recourante et ses enfants, qui sont directement touchés par la décision entreprise, ont qualité pour recourir (cf. art. 48 PA). Leur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l'autorité fédérale n'est pas liée par l'appréciation émise par les autorités cantonales, le 3 avril 2007, s'agissant de l'exemption des recourants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Tribunal administratif fédéral, en vertu de l'effet dévolutif du recours (cf. art. 54 PA).</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RDAF I 1997, p. 267ss). Il convient de relever au surplus que, 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p. 113).</w:t>
      </w:r>
    </w:p>
    <w:p>
      <w:r>
        <w:rPr>
          <w:b/>
        </w:rPr>
        <w:t>E. 4.3</w:t>
      </w:r>
    </w:p>
    <w:p>
      <w:r>
        <w:t>Lorsqu'une famille demande à être exemptée des mesures de limitation du nombre des étrangers au sens de l'art. 13 let. f aOLE,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ATF 123 II précité consid. 4; Wurzburger, op. cit. pp. 297/298).</w:t>
      </w:r>
    </w:p>
    <w:p>
      <w:r>
        <w:rPr>
          <w:b/>
        </w:rPr>
        <w:t>E. 4.4</w:t>
      </w:r>
    </w:p>
    <w:p>
      <w:r>
        <w:t>En référence à la jurisprudence du Tribunal fédéral, le Tribunal administratif fédéral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précité consid. 5.4). Sinon, l'obstination à violer la législation en vigueur serait en quelque sorte récompensée (ATF 130 II précité consid. 3).</w:t>
      </w:r>
    </w:p>
    <w:p>
      <w:r>
        <w:rPr>
          <w:b/>
        </w:rPr>
        <w:t>E. 5</w:t>
      </w:r>
    </w:p>
    <w:p>
      <w:r>
        <w:t>En l'espèce, au regard des pièces probantes versées au dossier, le Tribunal est amené à considérer que, selon toute vraisemblance, A._______ séjourne en Suisse avec sa fille D._______ depuis le mois de novembre 2001, alors que ses deux fils B._______ et C._______ résident dans ce pays depuis le mois de novembre 2002. Il apparaît ainsi que la recourante et ses enfants ont vécu dans ce pays durant un peu plus de six ans, respectivement un peu plus de cinq ans, en toute illégalité et que, depuis le dépôt de leur demande de régularisation, ils y demeurent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 Dans ces conditions,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6.1</w:t>
      </w:r>
    </w:p>
    <w:p>
      <w:r>
        <w:t>Cela étant, il convient d'examiner les critères d'évaluation qui, autres que la seule durée du séjour en Suisse, pourraient rendre le retour des recourants dans leur pays d'origine particulièrement difficile.</w:t>
      </w:r>
    </w:p>
    <w:p>
      <w:r>
        <w:rPr>
          <w:b/>
        </w:rPr>
        <w:t>E. 6.2</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S'agissant de l'intégration socioprofessionnelle de la recourante, force est de constater qu'elle ne revêt aucun caractère exceptionnel. Bien que le Tribunal ne remette pas en cause ses efforts d'intégration, son indépendance financière et les bons contacts qu'elle a su établir avec son entourage, il ne saurait pour autant considérer que celle-ci se soit créé, en six ans de séjour en Suisse, des attaches à ce point profondes et durables avec ce pays qu'elle ne puisse plus envisager un retour en Bolivie. S'agissant des relations de travail, d'amitié ou de voisinage qu'elle a nouées durant son séjour sur le territoire helvétique, elles ne sauraient non plus justifier une exception aux mesures de limitation du nombre des étrangers. Force est de constater par ailleurs qu'au regard de la nature des emplois que la recourante a exercés en Suisse (dans le secteur de l'économie domestique), elle n'a pas acquis en Suisse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aOLE (cf. ATAF 2007/16 consid. 8.3 et jurisprudence citée). En outre, le Tribunal relève que le comportement de la recourante en Suisse n'est pas exempt de tout reproche. En effet, depuis son arrivée dans ce pays et jusqu'au dépôt de sa demande d'autorisation de séjour, elle a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II précité consid. 5.2). Sur un autre plan, il convient de rappeler ici que A._______ a vécu en Bolivie jusqu'à l'âge de vingt-neuf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Tribunal ne saurait considérer que son séjour de quelques années sur le territoire suisse ait été suffisamment long pour la rendre totalement étrangère à son pays d'origine, dans lequel sa réadaptation professionnelle serait au demeurant facilitée par la formation d'infirmière assistante qu'elle y a acquise.</w:t>
      </w:r>
    </w:p>
    <w:p>
      <w:r>
        <w:rPr>
          <w:b/>
        </w:rPr>
        <w:t>E. 6.3</w:t>
      </w:r>
    </w:p>
    <w:p>
      <w:r>
        <w:t>Dans son recours, A._______ a relevé qu'elle faisait ménage commun, depuis le mois d'août 2007, avec un dénommé F._______, qu'elle entendait épouser une fois que celui-ci aurait divorcé de sa précédente épouse. La recourante invoque ainsi implicitement la protection de la vie familiale garantie par l'art. 8 de la Convention de sauvegarde des droits de l'homme et des libertés fondamentales du 4 novembre 1959 (CEDH, RS 0.101). Il convient de constater d'abord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Cela étant, à supposer que le prénommé soit titulaire en Suisse d'une autorisation de séjour dont la recourante pourrait se prévaloir sous l'angle de l'art. 8 CEDH, il convient de rappeler que, selon la jurisprudence du Tribunal fédéral, les fiancés ne sont en principe pas habilités, sous réserve de circonstances particulières (mariage sérieusement voulu ou imminent), à se prévaloir de cette disposition conventionnelle (cf. arrêt 2A.205/2006 du 1er juin 2006 consid. 3.2). Or, les informations que la recourante a communiquées à ce sujet dans son mémoire ne démontrent pas que les intéressés seraient sur le point de contracter mariage, ce d'autant moins qu'aucune indication supplémentaire n'a été fournie à ce sujet dans ses déterminations du 21 février 2008. Dans ces circonstances, la relation entretenue par A._______ et F._______ n'est, en l'état, pas déterminante pour la présente procédure.</w:t>
      </w:r>
    </w:p>
    <w:p>
      <w:r>
        <w:rPr>
          <w:b/>
        </w:rPr>
        <w:t>E. 7</w:t>
      </w:r>
    </w:p>
    <w:p>
      <w:r>
        <w:t>S'agissant de la situation des enfants, il apparaît que B._______ et C._______ sont actuellement âgé de 15 ans et demi et de 14 ans et demi et séjournent en Suisse depuis le mois de novembre 2002. Dès lors qu'ils ont désormais entamé leur adolescence dans ce pays et qu'ils y ont fait des efforts d'adaptation à leur nouvel environnement scolaire et social, leur retour en Bolivie n'irait, certes, pas sans quelques difficultés. Il convient de rappeler cependant que les prénommés ont vécu une partie de leur enfance et le début de leur scolarité dans leur pays, dont ils connaissent la langue et les coutumes. De plus, les intéressés, qui ont accompli une partie de leur scolarité en Suisse dans des classes de développement, n'ont pas atteint dans ce pays un degré de formation tel qu'un retour dans leur patrie représenterait une rigueur excessive. Ils ne démontrent en particulier pas qu'ils suivraient en Suisse des études qui ne sauraient en aucun cas être interrompues par un retour dans leur pays (cf. arrêt du Tribunal fédéral 2A.718/2006 du 21 mars 2007 consid. 3). Quant à D._______, actuellement âgée de 10 ans et demi, elle a suivi toute sa scolarité en Suisse. Même si elle n'a connu son pays que durant les toutes premières années de sa vie, elle demeure attachée à sa culture et à ses coutumes par l'influence de sa mère. En raison de son âge, elle demeure encore largement dépendante de celle-ci et imprégnée de la culture du milieu dans lequel elle a été élevée. Elle devrait dès lors être en mesure de s'adapter sans trop de difficultés à l'environnement de son pays natal et surmonter un changement de régime scolaire; son jeune âge et sa capacité d'adaptation ne peuvent que l'aider à supporter ce changement (ATF 123 II 125 et jurisprudence citée).</w:t>
      </w:r>
    </w:p>
    <w:p>
      <w:r>
        <w:rPr>
          <w:b/>
        </w:rPr>
        <w:t>E. 8</w:t>
      </w:r>
    </w:p>
    <w:p>
      <w:r>
        <w:t>Les recourants font valoir au surplus qu'un retour dans leur pays d'origine équivaudrait à les plonger dans une situation personnelle d'extrême gravité (cf. mémoire de recours). Le Tribunal n'ignore pas que le retour des recourants en Bolivie après plusieurs années passées en Suisse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S'agissant enfin des arguments des recourants relatifs aux craintes de leur retour en Bolivie en raison des violences qu'ils prétendent y avoir subies de la part de leur ex-époux, respectivement père, ainsi que de la part de la famille maternelle, le Tribunal relève que les intéressés gardent la possibilité, si nécessaire, de s'établir dans une autre région de Bolivie que celle de leur domicile antérieur et celui des proches membres de leur famille, cas échéant, de faire appel à la police de leur pays (cf. à cet égard arrêt du Tribunal fédéral 2A.156/2005 du 17 mars 2005 consid. 2.1). Dans ces conditions, après une appréciation de l'ensemble des circonstances, le Tribunal, à l'instar de l'autorité de première instance, arrive à la conclusion que la situation de A._______ et de ses trois enfants n'est pas constitutive d'un cas personnel d'extrême gravité au sens de l'art. 13 let. f aOLE.</w:t>
      </w:r>
    </w:p>
    <w:p>
      <w:r>
        <w:rPr>
          <w:b/>
        </w:rPr>
        <w:t>E. 9</w:t>
      </w:r>
    </w:p>
    <w:p>
      <w:r>
        <w:t>Il ressort de ce qui précède que, par sa décision du 7 septembre 2007, l'ODM n'a ni violé le droit fédéral, ni constaté des faits pertinents de manière inexacte ou incomplète ; en outre, la décision attaquée n'est pas inopportune (cf. art. 49 PA). En conséquence, le recours doit être rejeté. Vu l'issue de la cause, les frais de procédure sont mis à la charge des recourants (art. 63 al. 1 PA ainsi que les art. 1 à 3 du règlement du 11 décembre 2006 concernant les frais, dépens et indemnités fixés par le Tribunal administratif fédéral [FITAF, RS 173.320.2]).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