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C-7024/2017 vom 22. März 2019</w:t>
      </w:r>
    </w:p>
    <w:p>
      <w:r>
        <w:t>Bundesverwaltungsgericht, 2019-03-22, DE</w:t>
      </w:r>
    </w:p>
    <w:p>
      <w:r>
        <w:rPr>
          <w:b/>
        </w:rPr>
        <w:t xml:space="preserve">Quelle: </w:t>
      </w:r>
      <w:r>
        <w:t>https://mcp.opencaselaw.ch/entscheid/bvger_C-7024_2017</w:t>
      </w:r>
    </w:p>
    <w:p>
      <w:r>
        <w:t>FR: TAF C-7024/2017 du 22 mars 2019</w:t>
      </w:r>
    </w:p>
    <w:p>
      <w:r>
        <w:t>IT: TAF C-7024/2017 del 22 marzo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zur Erhebung der Beschwerde legitimiert (Art. 48 Abs. 1 VwVG; siehe auch Art. 59 ATSG [SR 830.1]). Die angefochtene Verfügung datiert vom 17. Mai 2016. Die Vorinstanz leitete die im Anschluss an den Verfügungserlass erfolgte Korrespondenz dem Bundesverwaltungsgericht erst am 11. Dezember 2017 weiter (BVGer act. 1). Entgegen der noch im Verwaltungsverfahren geäusserten Auffassung der Vorinstanz, ist die Verfügung vom 17. Mai 2016 nicht in Rechtskraft erwachsen. Mit Schreiben vom 5. Juni 2016 an die IV-Stelle C._______, welches der Vorinstanz am 13. Juni 2016 weitergeleitet wurde (act. I 71-1 ff.), legte der Beschwerdeführer seinen Beschwerdewillen ausreichend dar (insbesondere in Kombination mit dem vorangegangenen Schriftenwechsel per E-Mail; vgl. Sachverhalt C.d), sodass die Vorinstanz nach Art. 8 Abs. 1 VwVG verpflichtet gewesen wäre, das Schreiben vom 5. Juni 2016 umgehend an das Bundesverwaltungsgericht als Beschwerdeinstanz weiterzuleiten. Die Rechtsmittelfrist ist somit als gewahrt zu betrachten. Auf die frist- und formgerecht eingereichte Beschwerde vom 5. Juni 2016 ist daher einzutreten (Art. 50 Abs. 1 und Art. 52 Abs. 1; siehe auch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2. Auflage, Zürich 2018, Rz. 2 ff. zu Art. 49).</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3.1</w:t>
      </w:r>
    </w:p>
    <w:p>
      <w:r>
        <w:t>Der Beschwerdeführer ist deutscher Staatsangehörige und wohnt in Deutschland. Damit gelangen das Freizügigkeitsabkommen vom 21. Juni 1999 (FZA, SR 0.142.112.681) und die Regelwerke der Gemeinschaft zur Koordinierung der Systeme der sozialen Sicherheit gemäss Anhang II des FZA zur Anwendung (vgl. auch nachfolgende E. 6.3). Der Anspruch auf Leistungen der schweizerischen Invalidenversicherung richtet sich auch nach dem Inkrafttreten des FZA nach schweizerischem Recht (BGE 130 V 253 E. 2.4).</w:t>
      </w:r>
    </w:p>
    <w:p>
      <w:r>
        <w:rPr>
          <w:b/>
        </w:rPr>
        <w:t>E. 3.2</w:t>
      </w:r>
    </w:p>
    <w:p>
      <w:r>
        <w:t>Die Sache beurteilt sich - vorbehältlich besonderer übergangsrechtlicher Regelungen -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w:t>
      </w:r>
    </w:p>
    <w:p>
      <w:r>
        <w:rPr>
          <w:b/>
        </w:rPr>
        <w:t>E. 4.1</w:t>
      </w:r>
    </w:p>
    <w:p>
      <w:r>
        <w:t>Nach Art. 28 Abs. 1 IVG (in der seit 1. Januar 2008 gültigen Fassung) haben Versicherte Anspruch auf eine Rente,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4.2</w:t>
      </w:r>
    </w:p>
    <w:p>
      <w:r>
        <w:t>Wurde die Rente nach Verminderung des Invaliditätsgrades aufgehoben, erreicht dieser in den folgenden drei Jahren wegen einer auf dasselbe Leiden zurückzuführenden Arbeitsunfähigkeit ein rentenbegründendes Ausmass, so werden gemäss Art. 29bis der Verordnung über die Invalidenversicherung vom 17. Januar 1961 (IVV, SR 831.201) bei der Berechnung der Wartezeit nach Art. 28 Abs. Bst. b IVG früher zurückgelegte Wartezeiten angerechnet.</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4.4</w:t>
      </w:r>
    </w:p>
    <w:p>
      <w:r>
        <w:t>Nach Art. 29 Abs. 1 IVG entsteht der Rentenanspruch frühestens nach Ablauf von sechs Monaten nach Geltendmachung des Leistungsanspruchs nach Art. 29 Abs. 1 ATSG, jedoch frühestens im Monat, der auf die Vollendung des 18. Lebensjahres folgt.</w:t>
      </w:r>
    </w:p>
    <w:p>
      <w:r>
        <w:rPr>
          <w:b/>
        </w:rPr>
        <w:t>E. 5.1</w:t>
      </w:r>
    </w:p>
    <w:p>
      <w:r>
        <w:t>Gemäss Art. 60 Abs. 1 Bst. b IVG ist die Ausgleichskasse für die Berechnung der Renten, Taggelder, Einarbeitungszuschüsse und Entschädigung für Betreuungskosten zuständig. Für die Berechnung der ordentlichen Renten sind die Bestimmungen des AHVG sinngemäss anwendbar (Art. 36 Abs. 2 Satz 1 IVG). Die IV-Renten entsprechen den Altersrenten der Alters- und Hinterlassenenversicherung (Art. 37 Abs. 1 IVG).</w:t>
      </w:r>
    </w:p>
    <w:p>
      <w:r>
        <w:rPr>
          <w:b/>
        </w:rPr>
        <w:t>E. 5.2</w:t>
      </w:r>
    </w:p>
    <w:p>
      <w:r>
        <w:t>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(Art. 29bis Abs. 1 AHVG). Die Renten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Dabei bestimmt sich die Beitragsdauer einer versicherten Person in der Regel nach den Einträgen in ihren individuellen Konten (Art. 30ter AHVG).</w:t>
      </w:r>
    </w:p>
    <w:p>
      <w:r>
        <w:rPr>
          <w:b/>
        </w:rPr>
        <w:t>E. 5.3</w:t>
      </w:r>
    </w:p>
    <w:p>
      <w:r>
        <w:t>Innerhalb der anwendbaren Rentenskala bestimmt sich der Rentenbetrag nach dem durchschnittlichen Jahreseinkommen. Dieses setzt sich grundsätzlich zusammen aus den Erwerbseinkommen, den Erziehungsgutschriften und den Betreuungsgutschriften (Art. 29quater AHVG). Zur Ermittlung des massgebenden durchschnittlichen Jahreseinkommens wird die Summe der Erwerbseinkommen entsprechend dem Rentenindex gemäss Artikel 33ter AHVG aufgewertet. Das Bundesamt für Sozialversicherungen (BSV) legt die Aufwertungsfaktoren jährlich fest. Die Summe der aufgewerteten Erwerbseinkommen sowie die Erziehungs- oder Betreuungsgutschriften werden durch die Anzahl der Beitragsjahre geteilt (Art. 30 Abs. 1 Satz 1 und Abs. 2 AHVG, Art. 51bis Abs. 1 AHVV). Gemäss Art. 51bis Abs. 2 AHVV werden die Aufwertungsfaktoren ermittelt, indem der Rentenindex nach Artikel 33ter Absatz 2 AHVG durch den mit 1,1 gewichteten Durchschnitt der Lohnindizes aller Kalenderjahre von der ersten Eintragung in das individuelle Konto des Versicherten bis zum Vorjahr des Eintritts des Versicherungsfalles geteilt wird. Bei unvollständiger Beitragsdauer ist das Kalenderjahr für den Aufwertungsfaktor massgebend, in welchem erstmals ein IK-Eintrag vorgenommen wurde, wobei dieses Jahr zwischen dem der Zurücklegung des 20. Altersjahres folgenden Jahr und dem Eintritt des Versicherungsfalles liegen muss (vgl. dazu Art. 29bis Abs. 2 AHVG in Verbindung mit Art. 51bis Abs. 2 AHVV; Urteil des EVG H 49/05 vom 1. Dezember 2005 E. 2.4; vgl. dazu auch Rz. 5305 der Wegleitung des BSV über die Renten in der Eidgenössischen Alters-, Hinterlassenen- und Invalidenversicherung [RWL], gültig ab 1. Januar 2003, Stand 1. Januar 2019).</w:t>
      </w:r>
    </w:p>
    <w:p>
      <w:r>
        <w:rPr>
          <w:b/>
        </w:rPr>
        <w:t>E. 5.4</w:t>
      </w:r>
    </w:p>
    <w:p>
      <w:r>
        <w:t>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Bei der Berechnung der Altersrenten von verwitweten und geschiedenen Personen, die vor dem 1. Januar 1953 geboren sind, wird eine Übergangsgutschrift berücksichtigt, wenn ihnen nicht während mindestens 16 Jahren Erziehungs- oder Betreuungsgutschriften angerechnet werden konnten. Die Übergangsgutschrift entspricht der Höhe der halben Erziehungsgutschrift und beträgt für Personen mit Jahrgang 1947 12 Jahre, jedoch maximal die Anzahl Jahre, welche für die Festsetzung der Rentenskala der rentenberechtigten Person berücksichtigt werden (Bst. c Abs. 2 und 3 der Schlussbestimmungen der Änderung vom 7. Oktober 1994 [10. AHV-Revision]). 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Bst. a bis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Nach Art. 50b AHVV werden die Einkommen von Ehepaaren in jedem Jahr, in dem beide Ehegatten in der AHV versichert gewesen sind, hälftig geteilt (Abs. 1, erster Satz). Auch wenn die beiden Ehegatten in einem Kalenderjahr nicht während der gleichen Monate versichert sind, werden die Einkommen während des ganzen Kalenderjahres aufgeteilt. Die Beitragszeiten werden jedoch nicht übertragen (Abs. 2). Die Einkommen im Jahr der Eheschliessung und im Jahr der Auflösung der Ehe werden nicht geteilt (Abs. 3). Art. 29quinquies AHVG ist seit dem 1. Januar 1997 in Kraft. Gemäss Bst. c der Schlussbestimmungen der Änderung vom 7. Oktober 1994 (10. AHV-Revision) gelten die neuen Bestimmungen für alle Renten, auf die der Anspruch nach dem 31. Dezember 1996 entsteht (Abs. 1). Bei der Berechnung der Altersrente von geschiedenen Personen wird Art. 29quinquies Abs. 3 AHVG auch angewendet, wenn die Ehe vor dem 1. Januar 1997 geschieden wurde (Abs. 4).</w:t>
      </w:r>
    </w:p>
    <w:p>
      <w:r>
        <w:rPr>
          <w:b/>
        </w:rPr>
        <w:t>E. 5.5</w:t>
      </w:r>
    </w:p>
    <w:p>
      <w:r>
        <w:t>Wird ein Versicherter, dessen Rente wegen verminderter Invalidität aufgehoben worden ist, innert dreier Jahre infolge desselben Leidens erneut rentenberechtigt (Art. 28 IVG), so bleiben nach Art. 32bis IVV die Berechnungsgrundlagen der früheren Rente massgebend, wenn sie für den Versicherten vorteilhafter sind.</w:t>
      </w:r>
    </w:p>
    <w:p>
      <w:r>
        <w:rPr>
          <w:b/>
        </w:rPr>
        <w:t>E. 6</w:t>
      </w:r>
    </w:p>
    <w:p>
      <w:r>
        <w:t>Zwischen den Parteien unbestritten ist der Anspruch des Beschwerdeführers auf eine ganze Rente der Invalidenversicherung samt Kinderrente. Strittig und zu prüfen, ist demgegenüber die Berechnungsgrundlage der betragsmässigen Rentenhöhe der Rentenbetreffnisse. Die Vorinstanz geht davon aus, dass es sich bei der aktuellen Rentenzusprache um einen neuen Versicherungsfall handelt, sodass Art. 29bis IVV und Art. 32bis IVV nicht zur Anwendung gelangen könnten. Dementsprechend setzte sie die Berechnungsgrundlagen der Rentenbetreffnisse mit 6 vollen Beitragsjahren bei 36 Versicherungsjahren des Jahrgangs neu fest, was zu einer tieferen Rente für den Beschwerdeführer bzw. der Kinderrente als bei der erstmaligen und letztmaligen befristeten Rentenzusprache führte. Demgegenüber macht der Beschwerdeführer geltend, es handle sich bei der aktuellen Rentenzusprache nicht um ein neues Leiden. Die Beitragsjahre ab dem Jahr 2000 müssten als erbracht betrachtet werden. Für die Berechnung der Rentenbetreffnisse sei von 20 vollen Beitragsjahren bei 36 Versicherungsjahren des Jahrgangs auszugehen. Die Berechnung der Höhe der Rentenbeträge der Vorinstanz stelle eine Diskriminierung nach Domizilland dar und sei im Lichte des FZA unzulässig.</w:t>
      </w:r>
    </w:p>
    <w:p>
      <w:r>
        <w:rPr>
          <w:b/>
        </w:rPr>
        <w:t>E. 6.1.1</w:t>
      </w:r>
    </w:p>
    <w:p>
      <w:r>
        <w:t>Zu prüfen ist in einem ersten Schritt, ob es sich bei der aktuellen Rentenzusprache um einen neuen Versicherungsfall aufgrund eines neuen Leidens oder um ein Wiederaufleben der Invalidität im Sinn von Art. 29bis IVV bzw. Art. 32bis IVV handelt.</w:t>
      </w:r>
    </w:p>
    <w:p>
      <w:r>
        <w:rPr>
          <w:b/>
        </w:rPr>
        <w:t>E. 6.1.2</w:t>
      </w:r>
    </w:p>
    <w:p>
      <w:r>
        <w:t>Gemäss rechtskräftigem Urteil des Bundesverwaltungsgerichts C-3054/2011 vom 24. Juni 2014 hielt das Bundesverwaltungsgericht nach einlässlicher Würdigung der zahlreichen medizinischen Akten fest, dass die erstmalige befristete Rentenzusprache für den Zeitraum vom 1. November 2000 bis 30. September 2002 aufgrund eines Rückenleidens nach Unfall erfolgte (vgl. act. I 46-12). Dabei stützte sich das Gericht insbesondere auf das beweistaugliche orthopädische Gutachten von Dr. med. J._______ vom 1. März 2006 sowie das beweistaugliche psychiatrische Gutachten von Dr. med. K._______ vom 8. April 2006 (vgl. E. 4.2.1, act. I 46-12; E. 4.25, act. I 46-14 ff.). Im Gutachten von Dr. med. J._______ vom 24. Juni 2014 wurden folgende Diagnosen genannt (act. III 73-10-f.): Chronisches cervicobrachiales Schmerzsyndrom (M53.1) bei HWS-Trauma 11/1999, Chondrosen C2-C7, ventraler Spangenbildung C3/C4 DISH (diffuse idiopathische Skeletthyperostose, M48.1 [Versteifung von Teilen der Wirbelsäule durch überschiessende Knochenneubildung]) bei multiplen Synostosen intervertebral rechtsseitig der Brustwirbelsäule, multiplen Ossifikationen diverser Sehnenansätze, Verkalkung des Ligamentum sacrotuberale rechts. Chronisches spondylogenes [mit sekundären peripheren Irritationserscheinungen] Schmerzsyndrom (M47.8) bei Spondylarthrose L4/5 und Pseudolisthesis L4/5. 4) Beginnende mediale &amp; femoropatelläre Gonarthrose beidseits (M17.0) bei Status nach arthroskopischer Teilmeniskektomie links Dr. med. J._______ kam in seinem Gutachten vom 24. Juni 2014 zum Schluss, dass der Beschwerdeführer aus orthopädischer Sicht wegen der DISH in der bisherigen bzw. in einer schweren Tätigkeit zu 100 % arbeitsunfähig sei. Sämtliche alternativen leichte bis max. mittelschweren Aktivitäten ohne gleichförmige repetitive Bewegungsabläufe seien ab zwei Jahren nach dem Unfall von November 1999 zu 100 % zumutbar (act. III act, 73-12). Im Gutachten von Dr. med. K._______ vom 8. April 2006 wurde keine psychiatrische Diagnose mit Einfluss auf die Arbeitsfähigkeit gestellt. Ohne Auswirkung auf die Arbeitsfähigkeit sei eine attestierte Schmerzverarbeitungsstörung. Eine somatoforme Schmerzstörung liege nicht vor, da der Beschwerdeführer keine körperlichen Symptome aus psychischen Gründen zeige, soziale Kontakte weiterhin pflege, und auch nie eine psychiatrische Behandlung stattgefunden habe (act. III 75-5).</w:t>
      </w:r>
    </w:p>
    <w:p>
      <w:r>
        <w:rPr>
          <w:b/>
        </w:rPr>
        <w:t>E. 6.1.3</w:t>
      </w:r>
    </w:p>
    <w:p>
      <w:r>
        <w:t>Des Weiteren hatte das Bundesverwaltungsgericht die Rechtmässigkeit der zweiten Zusprache einer befristeten Rente für den Zeitraum vom 1. Mai 2007 bis 28. Februar 2009 zu prüfen. Diesbezüglich führte es aus, dass es sich dabei nicht um ein Wiederaufleben der Invalidität nach Aufhebung der Rente im Sinn von Art. 29bis IVV handle, da die geltend gemachte Verschlechterung des Gesundheitszustandes im Zusammenhang mit Erkrankungen am linken Kniegelenk stünden und somit ein neues Leiden vorliege (E. 4.3, act. I 46-16). Im Verlaufsgutachten von Dr. med. J._______ 30. September 2010 wurden folgende Diagnosen genannt: Chronisches cervicobrachiales Schmerzsyndrom (M53.1) bei Halswirbelsäulen-Trauma 11/1999, Chondrosen C3-C6 [bisher C2-C7], Spondylarthrosen C3-C6 [neu], ventraler Spangenbildung C3/C4. DISH (diffuse idiopathische Skeletthyperostose, M48.1 [Versteifung von Teilen der Wirbelsäule durch überschiessende Knochenneubildung]) bei multiplen Synostosen intervertebral der Brustwirbelsäule, Ossifikationen diverser Sehnenansätze, Verkalkung des Ligamentum sacrotuberale rechts. Chronisches spondylogenes [mit sekundären peripheren Irritationserscheinungen] Schmerzsyndrom (M47.8) bei Spondylarthrose L4/5 und Pseudolisthesis L4/5. Mediale &amp; femoropatelläre Gonarthrose beidseits (M17.0) bei Status nach arthroskopischer Teilmeniskektomie links, neu dazu ein Status nach valgisierender Tibiakopfosteotomie links am 23.5.2007, Status nach Osteosynthese-Materialentfernung und Revision links (Datum?). Beginnende Fingergrundgelenksarthrose II/III rechts (M19.04) bei Status nach Ossikelentfernung Metacarpaleköpfchen III rechts (1.12.2009) und persistierenden Schwellungen und Schmerzen der Fingergrundgelenke II/III. Nach Würdigung der medizinischen Akten schützte das Bundesverwaltungsgericht die Auffassung der Vorinstanz, dass der Beschwerdeführer aufgrund der neuen Diagnose einer medialen und femoropatellären Gonarthrose beidseits und Status nach valgisierender Tibiakopfsteotomie links (05/2007) bei bereits bestehender voller Arbeitsunfähigkeit in der bisherigen Tätigkeit seit Oktober 1999 in Verweistätigkeiten eine Arbeitsunfähigkeit von 100 % ab Mai 2007 bis zur Entfernung des Osteosynhesenmaterials im Dezember 2008 bestanden habe. Ab Januar 2009 bestünde für leichte Tätigkeiten eine Reduktion der Arbeitsfähigkeit von 25 % (E. 4.4.2, act. I 46-22 f.; E. 4.4.3, act. I 46-23; E. 4.5, act. I 24-35). Ein aktuelles psychiatrisches Gutachten lag nicht vor. Ebenso wenig wurden von Seiten des Beschwerdeführers fachärztliche psychiatrische Berichte von behandelnden Ärzten eingereicht (vgl. E. 4.3.1 ff, act. I 46-17 ff.; E. 4.4.1 ff., act. I 46-21 ff.).</w:t>
      </w:r>
    </w:p>
    <w:p>
      <w:r>
        <w:rPr>
          <w:b/>
        </w:rPr>
        <w:t>E. 6.1.4</w:t>
      </w:r>
    </w:p>
    <w:p>
      <w:r>
        <w:t>Nach dem Gesagten ist somit festzuhalten, dass sowohl die erstmalige als auch die zweitmalige bzw. letztmalige befristete Rentenzusprache ausschliesslich aus somatischen Gründen erfolgte.</w:t>
      </w:r>
    </w:p>
    <w:p>
      <w:r>
        <w:rPr>
          <w:b/>
        </w:rPr>
        <w:t>E. 6.1.5</w:t>
      </w:r>
    </w:p>
    <w:p>
      <w:r>
        <w:t>Die nunmehr zugesprochene unbefristete ganze Rente beruht auf dem Gutachten zu Handen des Sozialgerichts O._______ von Dr. med. L._______, Arzt für Neurologie und Psychiatrie, Psychotherapie, vom 15. September 2014 (act. I 51-1 ff.). In seiner Beurteilung kam Dr. med. L._______ zum Schluss, dass beim Beschwerdeführer eine deutliche Antriebsstörung im Rahmen einer depressiven Persönlichkeitsstörung mit histrionischem Grundcharakter im Rahmen einer anzunehmenden Narzismusstörung vorliege. Ebenfalls bestehe ein hoher Leidensdruck bei einer psychosozialen Konfliktsituation (act. I 51-5). Zusammenfassend führte Dr. med. L._______ aus, aus der Vorgeschichte sowie der hiesigen ambulanten Untersuchung zeige sich ein deutlich leistungseingeschränkter Patient, wobei im Vordergrund eine chronische Schmerzsymptomatik im Rahmen einer depressiven Persönlichkeitsstörung stehe. Die bisherigen Gutachten hätten sich auf orthopädische Gesamtbeurteilungen erstreckt. Aus seiner Sicht ergäbe sich deutlich das Bild einer verminderten Leistungsfähigkeit, da es sich um eine nicht offen aufgetretene depressive Grundstörung im Rahmen eines chronischen Schmerzsyndroms handle. Da bisher eine Reha-Massnahme im Jahr 2008 frustran durchgeführt worden sei, halte er eine erneute psychosomatische Reha-Massnahme für sinnvoll und zweckmässig, da nur durch eine längerfristige stationäre Behandlung die langfristige Leistungsfähigkeit des eigentlich noch jungen Patienten wiederhergestellt werden könne. Andererseits ergebe sich die Tatsache eines chronischen Schmerzsyndroms mit völliger Fixierung, jedoch ohne Simulation oder Aggravation. Bisher seien aus somatischer Sicht die Diagnosen Zervikobrachialsyndrom, Kniegelenksarthrosen linksbetont, ulnare Schädigung des Daumens und Adipositas gestellt worden. Zu den vom Sozialgericht gestellten (nicht aktenkundigen) Fragen führte Dr. med. L._______ aus, zusätzlich zu den oben genannten Gebrechen halte er die Diagnose einer Persönlichkeitsstörung auf depressivem Niveau und ein chronisches Schmerzsyndrom für vorrangig. Er halte den Beschwerdeführer ab dem Zeitpunkt der Untersuchung (27. August 2014) nur noch in der Lage, leichte Arbeiten deutlich unterhalbsichtig bis maximal drei Stunden pro Tag ausführen zu können (act. I 51-9 ff.).</w:t>
      </w:r>
    </w:p>
    <w:p>
      <w:r>
        <w:rPr>
          <w:b/>
        </w:rPr>
        <w:t>E. 6.1.6</w:t>
      </w:r>
    </w:p>
    <w:p>
      <w:r>
        <w:t>Nach Sichtung des Gutachtens von Dr. med. L._______ vom 15. September 2014 kam RAD-Arzt Dr. med. N._______, FMH Psychiatrie und Psychotherapie, mit Stellungnahme vom 2. November 2015 zum Schluss, dass auf das Gutachten abgestellt werden könne und somit ab dem Zeitpunkt der Begutachtung (27. August 2014) eine Arbeitsunfähigkeit von 70 % in sämtlichen Tätigkeiten bestehe (act. I 55-2). Die nunmehr attestierte Arbeitsunfähigkeit in leidensangepassten Tätigkeiten beruht somit auf einer psychiatrischen Beurteilung bzw. auf psychiatrischen Diagnosen. Entgegen der Äusserung von Dr. med. L._______, dass die bisherigen Beurteilungen sich auf orthopädische Gesamtbeurteilung erstreckt hätten, wurde der Beschwerdeführer am 23. Februar 2006 von Dr. med. K._______, FHM für Psychiatrie und Psychotherapie, untersucht und begutachtet (act. III 75-1 ff.). Wie bereits erwähnt, konnte im Gutachten von Dr. med. K._______ vom 8. April 2006 keine psychiatrische Diagnose mit Einfluss auf die Arbeitsfähigkeit gestellt werden. Hinweise auf eine depressive Erkrankung bestünden keine. Es liege eine Schmerzverarbeitungsstörung vor, welche sich jedoch nicht auf die Arbeitsfähigkeit des Beschwerdeführers auswirke (act. III 75-5). Die geklagten körperlichen Beschwerden könnten somatisch nicht objektiviert werden. Es müsse eine psychische Überlagerung angenommen werden. Der Beschwerdeführer leide nicht unter psychosozialen Belastungen, auf liege kein deutliches Rentenbegehren vor. Es könne also weder die Diagnose anhaltende somatoforme Schmerzstörung noch Entwicklung körperlicher Symptome aus psychischen Gründen gestellt werden. Bei der psychiatrischen Untersuchung hätten keine psychopathologischen Symptome festgestellt werden können. Der Beschwerdeführer habe sich auch noch nie in ambulanter psychiatrischer Behandlung befunden. Er habe einzig einmal während drei Wochen ein Antidepressivum eingenommen, dessen Wirkung er als wenig hilfreich erlebt habe. Ausser der Schmerzverarbeitungsstörung könne also keine weitere psychiatrische Diagnose gestellt werden. Hinweise auf eine depressive Erkrankung bestünden nicht (act. III, 75-6 f.).</w:t>
      </w:r>
    </w:p>
    <w:p>
      <w:r>
        <w:rPr>
          <w:b/>
        </w:rPr>
        <w:t>E. 6.1.7</w:t>
      </w:r>
    </w:p>
    <w:p>
      <w:r>
        <w:t>Nach dem Gesagten lag das von Dr. med. L._______ erwähnte chronische Schmerzsyndrom bereits im Zeitpunkt der erstmaligen und letztmaligen befristeten Rentenzusprache vor (vgl. vorstehende E. 6.1.1 und 6.1.2). Eine psychiatrische Diagnose mit Auswirkung auf die Arbeitsfähigkeit wurde von Dr. med. K._______ im Gutachten vom 8. April 2006 verneint. Insbesondere konnten bei der psychiatrischen Untersuchung keine psychopathologischen Symptome festgestellt werden und das Vorliegen einer depressiven Erkrankung wurde verneint (vgl. vorstehende E. 6.1.5). Bei der nunmehr von Dr. med. L._______ diagnostizierten depressiven Persönlichkeitsstörung mit histrionischem Grundcharakter im Rahmen einer anzunehmenden Narzismusstörung handelt es sich somit um neue Diagnosen. Aufgrund den vorgenannten Feststellungen im Gutachten von Dr. med. K._______ ist davon auszugehen, dass es sich bei den neuen psychiatrischen Diagnosen in Kombination mit der vorbestehenden Schmerzstörung überwiegend um ein neues Leiden handelt, dass bei der letztmaligen befristeten Rentenzusprache noch nicht in dieser Form vorgelegen hat. Für diese Auffassung spricht auch, dass im Zeitraum nach der Begutachtung durch Dr. med. K._______ am 23. Februar 2006 bis zur Begutachtung durch Dr. med. L._______ am 27. August 2014 keine psychiatrische Behandlung stattgefunden hat und dementsprechend auch keine psychiatrischen Berichte vorliegen und Dr. med. L._______ für seine Einschätzung den Zeitpunkt der Untersuchung als massgebend hält.</w:t>
      </w:r>
    </w:p>
    <w:p>
      <w:r>
        <w:rPr>
          <w:b/>
        </w:rPr>
        <w:t>E. 6.2</w:t>
      </w:r>
    </w:p>
    <w:p>
      <w:r>
        <w:t>Wie vorstehend dargelegt, ist die aktuelle Rentenzusprache entgegen der Auffassung des Beschwerdeführers aufgrund eines neuen Leidens erfolgte. Daher können die Art. 29bis IVV bzw. insbesondere Art. 32bis IVV für die Berechnung der Rentenhöhe nicht zur Anwendung gelangen. Bei diesem Ergebnis kann offen bleiben ab welchem Zeitpunkt die Frist von drei Jahren nach Art. 29bis IVV bzw. Art. 32bis IVV zu laufen beginnt.</w:t>
      </w:r>
    </w:p>
    <w:p>
      <w:r>
        <w:rPr>
          <w:b/>
        </w:rPr>
        <w:t>E. 6.3.1</w:t>
      </w:r>
    </w:p>
    <w:p>
      <w:r>
        <w:t>Der Beschwerdeführer macht des Weiteren geltend, die Berechnung der Höhe der Rentenbeträge der Vorinstanz mit 6 anstelle mit 20 Beitragsjahren stelle eine Diskriminierung dar. Insbesondere sei eine Diskriminierung nach Domizilland im Lichte des FZA unzulässig.</w:t>
      </w:r>
    </w:p>
    <w:p>
      <w:r>
        <w:rPr>
          <w:b/>
        </w:rPr>
        <w:t>E. 6.3.2</w:t>
      </w:r>
    </w:p>
    <w:p>
      <w:r>
        <w:t>Am 1. Juni 2002 ist das Abkommen zwischen der Schweizerischen Eidgenossenschaft einerseits und der Europäischen Gemeinschaft andererseits über die Freizügigkeit vom 21. Juni 1999 (Freizügigkeitsabkommen, im Folgenden: FZA, SR 0.142.112.681) in Kraft getreten. Gemäss Art. 8 Bst. a FZA werden die Systeme der sozialen Sicherheit koordiniert, um insbesondere die Gleichbehandlung aller Mitglieder der Vertragsstaaten zu gewährleisten. Die Schweiz hat dazu die Regelwerke der Gemeinschaft zur Koordinierung der Systeme der sozialen Sicherheit gemäss Anhang II des FZA übernommen. Im Vordergrund stehen die Verordnung (EWG) Nr. 1408/71 des Rates vom 14. Juni 1971 zur Anwendung der Systeme der sozialen Sicherheit auf Arbeitnehmer und Selbstständige sowie deren Familienangehörige, die innerhalb der Gemeinschaft zu- und abwandern (SR 0.831.109.268.1; kurz: VO Nr. 1408/71) und deren Durchführungsverordnung (EWG) Nr. 574/72 (SR 0.831.109.268.11; kurz: VO Nr. 574/72). Durch den Beschluss Nr. 1/2012 des Gemischten Ausschusses vom 31. März 2012 zur Ersetzung des Anhangs II des Abkommens über die Koordinierung der Systeme der sozialen Sicherheit sind die VO 1408/71 und VO 574/72 per 1. April 2012 ersetzt worden (AS 2012 2345; vgl. auch Urteil des Bundesgerichts [BGer] 8C_455/2011 vom 4. Mai 2012 E. 2.1). Ab diesem Zeitpunkt wenden die Vertragsparteien untereinander grundsätzlich die Verordnung (EG) Nr. 883/2004 des Europäischen Parlaments und des Rates vom 29. April 2004 zur Koordinierung der Systeme der sozialen Sicherheit (SR 0.831.109.268.1; kurz: VO 883/2004) und die Verordnung (EG) Nr. 987/2009 (SR 0.831.109.268.11; kurz: VO 987/2009) des Europäischen Parlaments und des Rates vom 16. September 2009 zur Festlegung der Modalitäten für die Durchführung der VO 883/2004 an.</w:t>
      </w:r>
    </w:p>
    <w:p>
      <w:r>
        <w:rPr>
          <w:b/>
        </w:rPr>
        <w:t>E. 6.3.3</w:t>
      </w:r>
    </w:p>
    <w:p>
      <w:r>
        <w:t>Nach der unter der Herrschaft der Verordnung Nr. 1408/71 ergangenen, somit nach wie vor gültigen Rechtsprechung sind Invalidenrenten der schweizerischen IV autonom zu berechnen. Dabei ist nicht die A- (Risikomethode) anzuwenden, sondern - indem verschiedene Teilrenten pro rata temoporis gewährt werden - nach der B-Methode zu koordinieren (vgl. BGE 131 V 371 E. 6.4 m.H.). Daran hat sich auch mit Inkrafttreten der VO Nr. 883/2004 nichts geändert (vgl. Art. 44 Abs. 1 VO 883/2004 i.V.m. Anhang VI, in welchem die Schweiz nicht aufgeführt ist). Somit ist die IV-Rente des Beschwerdeführers anhand der in der Schweiz tatsächlich zurückgelegten Versicherungszeiten zu berechnen und es können nicht zusätzlich Versicherungszeiten angerechnet werden, in denen er nicht in der Schweiz sozialversichert, sondern aufgrund seines Wohnsitzes und den Koordinationsverordnungen der deutschen Sozialversicherung unterstellt war. Soweit darin eine Ungleichbehandlung gegenüber Schweizer Bürgern oder Versicherten, die sich der freiwilligen Versicherung unterstellen können (was bei Wohnsitz in einem EU-Land aufgrund des FZA und den dazugehörigen Koordinationsverordnungen nicht möglich ist; vgl. auch Art. 2 Abs. 1 AHVG) zu erblicken ist, welche aufgrund ihrer Lebenssituation in der Regel längere Versicherungszeiten aufwiesen und weit häufiger in den Genuss von höheren Renten kommen, liegt sie in der Konzeption der Verordnungen Nr. 1408/71 und Nr. 883/2004 selbst begründet. Diesen geht es nicht um die inhaltliche Angleichung nationaler Systeme sozialer Sicherheit im Sinne einer Harmonisierung (BGE 142 V 538 E. 6.3.2.3); vielmehr haben sie "eigenständige Systeme (...) bestehen lassen, die eigenständige Forderungen gegen eigenständige Träger gewähren, gegen die dem Leistungsberechtigten unmittelbare Ansprüche zustehen" (Urteil des BGer 9C_9/2018 vom 19. Juni 2018 E. 3.2.2, BGE 130 V 51 E. 5.5, vgl. auch BGE 143 V 402 E. 6.1 zur Reichweite des Gleichbehandlungsgebots nach Art. 3 Abs. 1 der Verordnung Nr. 1408/71 und Art. 4 der VO 883/04, verglichen mit dem Diskriminierungsverbot nach Art. 2 FZA). Das Gleichbehandlungsgebot nach Art. 4 VO 883/04 richtet sich nicht gegen diese Unterschiede. Diese Unterschiede ergeben sich aus den Rechtsvorschriften denen der Beschwerdeführer aufgrund der im Rahmen des FZA anzuwendenden Verordnung VO 883/2004 selbst unterliegt. Insofern kann die autonome Berechnung der Invalidenrente anhand der tatsächlich zurückgelegten Versicherungszeiten an sich auch nicht zu einer unzulässigen Diskriminierung des Beschwerdeführers nach Art. 4 VO 883/04 führen (vgl. BGE 132 V 310 E. 9.1 f.).</w:t>
      </w:r>
    </w:p>
    <w:p>
      <w:r>
        <w:rPr>
          <w:b/>
        </w:rPr>
        <w:t>E. 7</w:t>
      </w:r>
    </w:p>
    <w:p>
      <w:r>
        <w:t>Zusammenfassend ist somit festzuhalten, dass die aktuelle unbefristete Rentenzusprache mit überwiegender Wahrscheinlichkeit aufgrund eines neuen Leidens erfolgte und daher die Art. 29bis IVV bzw. insbesondere Art. 32bis IVV bei der Berechnung der Rentenhöhen nicht zur Anwendung gelangen. Schliesslich stellt die Berechnung der Rentenhöhen auch keine unzulässige Diskriminierung im Lichte des FZA dar. Die Vorinstanz ist daher bei der Berechnung der Invalidenrenten zu Recht von 6 vollen Versicherungsjahren bei 36 Versicherungsjahren des Jahrgangs ausgegangen. Im Übrigen wurde die Rentenberechnung nicht bemängelt und es ist auch nicht ersichtlich, dass diese fehlerhaft sein sollte. Die Beschwerde ist abzuweisen.</w:t>
      </w:r>
    </w:p>
    <w:p>
      <w:r>
        <w:rPr>
          <w:b/>
        </w:rPr>
        <w:t>E. 8</w:t>
      </w:r>
    </w:p>
    <w:p>
      <w:r>
        <w:t>Zu befinden bleibt noch über die Verfahrenskosten und eine allfällige Parteientschädigung.</w:t>
      </w:r>
    </w:p>
    <w:p>
      <w:r>
        <w:rPr>
          <w:b/>
        </w:rPr>
        <w:t>E. 8.1</w:t>
      </w:r>
    </w:p>
    <w:p>
      <w:r>
        <w:t>Als unterliegende Partei hat der Beschwerdeführer grundsätzlich die Verfahrenskosten zu tragen (vgl. Art. 63 Abs. 1 und 2 VwVG). Vorliegend sind allerdings keine Kosten zu erheben, da dem Beschwerdeführer mit Zwischenverfügungen vom 8. Februar 2018 bzw. 21. Februar 2018 in Anwendung von Art. 65 Abs. 1 VwVG die unentgeltliche Rechtspflege gewährt wurde.</w:t>
      </w:r>
    </w:p>
    <w:p>
      <w:r>
        <w:rPr>
          <w:b/>
        </w:rPr>
        <w:t>E. 8.2</w:t>
      </w:r>
    </w:p>
    <w:p>
      <w:r>
        <w:t>Bei Unterliegen des amtlich verbeiständigten Beschwerdeführers hat der gerichtlich bestellte Rechtsbeistand einen öffentlich-rechtlichen Ent-schädigungsanspruch (BGE 131 I 217 E. 2.5; 122 I 322 E. 3b). Die Parteientschädigung umfasst dabei die Kosten der Vertretung sowie allfällige weitere notwendige Auslagen der Partei (Art. 8 VGKE i.V.m Art. 12 VGKE). Die Kosten der Vertretung umfassen gemäss Art. 9 Abs. 1 VGKE das Anwaltshonorar (Bst. a), den Ersatz der Auslagen (Bst. b) und der Mehrwertsteuer (Bst. c), wobei Letztere nur dann geschuldet ist, wenn die zu entschädigende Partei Wohnsitz oder Sitz in der Schweiz hat (vgl. dazu Urteile des BVGer C-3800/2012 vom 27. Mai 2014; C-7742/2009 vom 9. August 2012 E. 7.2; C-6248/2011 vom 25. Juli 2012 E. 12.2.5 mit weiteren Hinweisen und C-6173/2009 vom 29. August 2011 mit Hinweisen) oder der zu entschädigenden Partei mit Wohnsitz im Ausland ein unentgeltlicher Rechtsbeistand beigeordnet wurde (BGE 141 III 560 E. 2 und 3). Das Bundesverwaltungsgericht geht bei amtlicher Vertretung in der Regel von einem Stundenansatz von Fr. 200.- bis Fr. 220.- für Anwältinnen und Anwälte aus (Art. 10 VGKE i.V.m. Art. 10 Abs. 2 VGKE). Es wird nur der notwendige Aufwand entschädigt (Art. 8 Abs. 2 VGKE).</w:t>
      </w:r>
    </w:p>
    <w:p>
      <w:r>
        <w:rPr>
          <w:b/>
        </w:rPr>
        <w:t>E. 8.3</w:t>
      </w:r>
    </w:p>
    <w:p>
      <w:r>
        <w:t>Der Rechtsvertreter hat am 1. Mai 2018 eine Kostennote eingereicht (BVGer act. 20). Darin wird ein Honorar von Fr. 1'400.15 (6.9167 Stunden à Fr. 200.- zuzüglich Barauslagen für Kopien und Porto von Fr. 2.- bzw. 14.80) exklusiv Mehrwertsteuer geltend gemacht. Der geltend gemachte Aufwand ist mit Blick auf den aktenkundigen Aufwand nicht zu beanstanden. Aufgrund der dem Beschwerdeführer gewährten unentgeltlichen Rechtspflege ist das Honorar mehrwertsteuerpflichtig. Die Parteientschädigung inklusiv Mehrwertsteuerzuschlag im Sinne von Art. 9 Abs. 1 Bst. c VGKE und Barauslagen beläuft sich somit auf Fr. 1'507.95 (6.917 Stunden à Fr. 200.- zuzgl. Auslagen in der Höhe von total Fr. 16.80 und Mehrwertsteuer von 7.7 % auf Fr. 1400.15 in der Höhe von Fr. 107.80). Diese Entschädigung ist aus der Gerichtskasse zu leisten. Es wird indessen ausdrücklich auf Art. 65 Abs. 4 VwVG hingewiesen, wonach die begünstigte Partei der Gerichtskasse Ersatz zu leisten hat, wenn sie später zu hinreichenden Mitteln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