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C-7023/2014 vom 2. Dezember 2016</w:t>
      </w:r>
    </w:p>
    <w:p>
      <w:r>
        <w:t>Bundesverwaltungsgericht, 2016-12-02, DE</w:t>
      </w:r>
    </w:p>
    <w:p>
      <w:r>
        <w:rPr>
          <w:b/>
        </w:rPr>
        <w:t xml:space="preserve">Quelle: </w:t>
      </w:r>
      <w:r>
        <w:t>https://mcp.opencaselaw.ch/entscheid/bvger_C-7023_2014</w:t>
      </w:r>
    </w:p>
    <w:p>
      <w:r>
        <w:t>FR: TAF C-7023/2014 du 2 décembre 2016</w:t>
      </w:r>
    </w:p>
    <w:p>
      <w:r>
        <w:t>IT: TAF C-7023/2014 del 2 dicembre 2016</w:t>
      </w:r>
    </w:p>
    <w:p>
      <w:pPr>
        <w:pStyle w:val="Heading2"/>
      </w:pPr>
      <w:r>
        <w:t>Regeste</w:t>
      </w:r>
    </w:p>
    <w:p>
      <w:r>
        <w:t>Rentenrevision</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29. Oktober 2014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1.5</w:t>
      </w:r>
    </w:p>
    <w:p>
      <w:r>
        <w:t>Anfechtungsgegenstand im verwaltungsgerichtlichen Beschwerdeverfahren bilden Verfügungen im Sinne von Art. 5 VwVG. Deren angefochtener Teil definiert den Streitgegenstand. Das Gericht kann grundsätzlich nur über Streitgegenstände entscheiden, hinsichtlich derer die Verwaltung verfügt hat (BGE 131 V 164 E. 2.1) oder über welche sie gemäss dem Untersuchungsgrundsatz und dem Prinzip der Rechtsanwendung von Amtes wegen hätte verfügen müssen (BGE 116 V 23 E. 3c und d; Urteile BGer I 66/03 vom 27. Mai 2003 E. 4.1, 9C_766/2007 vom 03. Januar 2008 E. 4). Vorliegend betitelt die Vorinstanz ihre angefochtene Verfügung (IV-act. 219) mit: "Revisionsgesuch vom 19. Februar 2014" (recte: 18. Februar 2014), was prima vista darauf schliessen liesse, dass sie das Revisionsgesuch des Beschwerdeführers beurteilte. Aus den Akten geht jedoch hervor, dass die Vorinstanz bereits in ihrem seinerzeitigen Beschluss betreffend Invalidität vom 11. Mai 2010 (IV-act. 174) eine amtliche Revision per 16. April 2013 vorgesehen hatte und diese dann mit Schreiben vom 16. April 2014 (IV-act. 184) tatsächlich einleitete. Somit hat sie de facto das amtlich eingeleitete Revisionsverfahren beurteilt. Dem entspricht, dass sich die Vorinstanz in ihrer angefochtenen Verfügung nicht explizit über die Eintretensvoraussetzungen und deren Erfüllung äusserte und sich zudem in den gesamten Akten kein einziger Hinweis auf Art. 87 Abs. 2 IVV befindet. Auch der Dispositivsatz "Es besteht somit weiterhin Anspruch auf eine halbe Rente" lässt darauf schliessen, dass die Vorinstanz nach Untersuchung des Sachverhalts materiell einen unveränderten Rentenanspruch festgestellt hat; sonst müsste das Dispositiv lauten: "Das Gesuch kann deshalb nicht geprüft werden" oder "Auf das Gesuch ist nicht einzutreten". Nicht relevant für die Frage, ob über ein Revisionsgesuch des Beschwerdeführers oder über ein amtlich eingeleitetes Revisionsverfahren zu befinden ist, sind die beiden Stellungnahmen des medizinischen Dienstes, welche auf ein "nicht eintreten" bzw. "nicht eingehen" (IV-act. 207, 218) plädieren. Insgesamt steht fest, dass die Vorinstanz vorliegend im Rahmen eines Revisionsverfahrens von Amtes wegen materiell über den Rentenanspruch entschieden hat.</w:t>
      </w:r>
    </w:p>
    <w:p>
      <w:r>
        <w:rPr>
          <w:b/>
        </w:rPr>
        <w:t>E. 2.1</w:t>
      </w:r>
    </w:p>
    <w:p>
      <w:r>
        <w:t>Der Beschwerdeführer ist kroatischer Staatsangehöriger und wohnt in Kroatien. Seit dem 1. Januar 1998 gilt das Abkommen zwischen der Schweizerischen Eidgenossenschaft und der Republik Kroatien über Soziale Sicherheit vom 9. April 1996 (Sozialversicherungsabkommen, SR 0.831.109.291.1), welches auf die schweizerische Gesetzgebung über die Alters- und Hinterlassenenversicherung sowie die Invalidenversicherung anwendbar ist (Art. 2 Abs. 1 lit. A no. i und ii Sozialversicherungsabkommen). Auch wenn Kroatien am 1. Juli 2013 der EU beigetreten ist, bleibt im Verhältnis zur Schweiz vorderhand das Sozialversicherungsabkommen anwendbar.</w:t>
      </w:r>
    </w:p>
    <w:p>
      <w:r>
        <w:rPr>
          <w:b/>
        </w:rPr>
        <w:t>E. 2.2</w:t>
      </w:r>
    </w:p>
    <w:p>
      <w:r>
        <w:t>Gemäss dem Sozialversicherungsabkommen sind Angehörige der jeweiligen Staaten den Angehörigen des Partnerstaates in Rechten und Pflichten betreffend die angeführten Sozialversicherungen gleichgestellt, insoweit nicht das Abkommen selbst eine Differenzierung vorsieht (Art. 4 Abs. 1 Sozialversicherungsabkommen).</w:t>
      </w:r>
    </w:p>
    <w:p>
      <w:r>
        <w:rPr>
          <w:b/>
        </w:rPr>
        <w:t>E. 2.3</w:t>
      </w:r>
    </w:p>
    <w:p>
      <w:r>
        <w:t>Im Sinne einer solchen Differenzierung sollen Versicherte ohne Wohnsitz in der Schweiz eine Invalidenrente nur erhalten, wenn sie zu mindestens 50% invalid sind (Art. 5 Abs. 2 Sozialversicherungsabkommen).</w:t>
      </w:r>
    </w:p>
    <w:p>
      <w:r>
        <w:rPr>
          <w:b/>
        </w:rPr>
        <w:t>E. 2.4</w:t>
      </w:r>
    </w:p>
    <w:p>
      <w:r>
        <w:t>Das Sozialversicherungsabkommen sieht, bis auf den Fall einer Zusammenrechnung von Versicherungszeiten (Art. 18 Sozialversicherungsabkommen), keine Situation vor, in der gleichzeitig Schweizer und kroatisches Recht zur Anwendung kommt. Demnach bestimmt sich die Frage, ob und gegebenenfalls ab wann Anspruch auf Leistungen der Sozialversicherung besteht, allein aufgrund schweizerischer Rechtsvorschriften.</w:t>
      </w:r>
    </w:p>
    <w:p>
      <w:r>
        <w:rPr>
          <w:b/>
        </w:rPr>
        <w:t>E. 3.1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3.2</w:t>
      </w:r>
    </w:p>
    <w:p>
      <w:r>
        <w:t>Nach bundesgerichtlicher Rechtsprechung stellt das Sozialversicherungsgericht bei der Beurteilung einer Streitsache in der Regel auf den bis zum Zeitpunkt des Erlasses der streitigen Verwaltungsverfügung eingetretenen Sachverhalt ab. Nachfolgende Änderungen werden in einem neuen Verwaltungsverfahren beurteilt (BGE 121 V 362 E. 1.b m.w.H.).</w:t>
      </w:r>
    </w:p>
    <w:p>
      <w:r>
        <w:rPr>
          <w:b/>
        </w:rPr>
        <w:t>E. 3.3</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3.4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3.6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351 E. 3a).</w:t>
      </w:r>
    </w:p>
    <w:p>
      <w:r>
        <w:rPr>
          <w:b/>
        </w:rPr>
        <w:t>E. 3.7</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4.1</w:t>
      </w:r>
    </w:p>
    <w:p>
      <w:r>
        <w:t>In materiell-rechtlicher Hinsicht ist auf jene Bestimmungen des IVG und des ATSG abzustellen, die für die Beurteilung jeweils relevant waren und in Kraft standen. Vorliegend ist eine Verfügung vom 29. Oktober 2014 bezüglich eines Sachverhalts ab dem 16. April 2013 (Einleitung der amtlichen Rentenrevision) strittig, weshalb insbesondere das IVG und die Verordnung über die Invalidenversicherung vom 17. Januar 1961 (IVV, SR 831.201) in den Fassungen der 5. und 6. IV-Revision massgebend sind. Ferner sind das ATSG und die Verordnung vom 11. September 2002 über den Allgemeinen Teil des Sozialversicherungsrechts (ATSV, SR 830.11) anwendbar.</w:t>
      </w:r>
    </w:p>
    <w:p>
      <w:r>
        <w:rPr>
          <w:b/>
        </w:rPr>
        <w:t>E. 4.2</w:t>
      </w:r>
    </w:p>
    <w:p>
      <w:r>
        <w:t>Die spätere Revision einer gesprochenen Rente kann auf Begehren des Rentenempfängers oder von Amtes wegen erfolgen (Art. 17 Abs. 1 ATSG). Eine amtliche Revision wird eingeleitet, wenn Tatsachen bekannt oder Massnahmen angeordnet werden, die eine erhebliche Änderung des Invaliditätsgrads als möglich erscheinen lassen. Sie kann aber auch bereits mit der vorhergehenden Entscheidung, im Hinblick auf eine mögliche erhebliche Änderung, auf einen bestimmten Termin in Aussicht genommen werden (Art. 87 Abs. 1 IVV).</w:t>
      </w:r>
    </w:p>
    <w:p>
      <w:r>
        <w:rPr>
          <w:b/>
        </w:rPr>
        <w:t>E. 4.3</w:t>
      </w:r>
    </w:p>
    <w:p>
      <w:r>
        <w:t>Eine Anpassung des Invaliditätsgrades im Revisionsverfahren setzt stets eine erhebliche und anhaltende Änderung der tatsächlichen Verhältnisse voraus.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vorliegend ist dies der 28. Mai 2013.</w:t>
      </w:r>
    </w:p>
    <w:p>
      <w:r>
        <w:rPr>
          <w:b/>
        </w:rPr>
        <w:t>E. 4.4</w:t>
      </w:r>
    </w:p>
    <w:p>
      <w:r>
        <w:t>Ferner muss die Veränderung der Verhältnisse erheblich, das heisst hinsichtlich des resultierenden Invaliditätsgrads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(Kieser, Die Erheblichkeit der Invaliditätsgradänderung als Rentenanpassungsvoraussetzung nach Art. 17 Abs. 1 ATSG, in: Schaffhauser/Schlauri [Hsrg.], Sozialversicherungsrechtstagung 2007, S. 159)</w:t>
      </w:r>
    </w:p>
    <w:p>
      <w:r>
        <w:rPr>
          <w:b/>
        </w:rPr>
        <w:t>E. 4.5</w:t>
      </w:r>
    </w:p>
    <w:p>
      <w:r>
        <w:t>Ist eine erhebliche Veränderung gegeben, wird die Rente anschliessend nicht nur in Bezug auf diese, sondern in rechtlicher und tatsächlicher Hinsicht allseitig geprüft (BGE 117 V 198 E. 4b).</w:t>
      </w:r>
    </w:p>
    <w:p>
      <w:r>
        <w:rPr>
          <w:b/>
        </w:rPr>
        <w:t>E. 5</w:t>
      </w:r>
    </w:p>
    <w:p>
      <w:r>
        <w:t>Nachfolgend ist zu prüfen, ob die Vorinstanz zu Recht zum Schluss gelangte, dass sich die Arbeits- und Erwerbsfähigkeit des Beschwerdeführers im Zeitraum vom 28. Mai 2010 bis zum 29. Oktober 2014 nicht in anspruchsrelevanter Weise verschlechtert hat. Aufgrund des zuletzt rechtskräftig festgestellten Invaliditätsgrads von 55% wären erhebliche Änderungen des Sachverhalts bereits bei einer vergleichsweise geringfügigen Auswirkung auf den Invaliditätsgrad zu erwarten (±5%).</w:t>
      </w:r>
    </w:p>
    <w:p>
      <w:r>
        <w:rPr>
          <w:b/>
        </w:rPr>
        <w:t>E. 5.1</w:t>
      </w:r>
    </w:p>
    <w:p>
      <w:r>
        <w:t>Folgende medizinische Unterlagen zum aktuellen Gesundheitszustand des Beschwerdeführers sind zu würdigen: - Zu seiner psychischen Situation bringt der Beschwerdeführer einen psychiatrischen Kontrollbericht vom 14. Mai 2013 von Dr. H._______ (Psychiater, IV-act. 191) bei. Dieser behauptet indes keine Verschlechterung des Gesundheitszustands, sondern attestiert nur "keine Verbesserung" und diagnostiziert eine gemischt ängstlich-depressive Störung sowie eine emotional instabile Persönlichkeitsstörung. Ähnliche Diagnosen, nämlich eine rezidivierende Depression, gegenwärtig unter Therapie noch leichte depressive Episode mit somatischen Syndrom, sowie eine chronische Schmerzstörung, wurden bereits vor Erlass der Verfügung im Vergleichszeitpunkt aufgestellt. Die Angstsymptomatik gehört zu einer Depression (vgl. dazu das psychiatrische MEDAS-Teilgutachten von Dr. I._______ vom 27. September 2009 [IV-act. 153 p. 38, 40]); eine bereits früher diagnostizierte Persönlichkeitsstörung konnte vom Gutachter nicht bestätigt werden (IV-act. 153 p. 43). Der psychiatrische Kontrollbericht kann deshalb keine Verschlechterung darlegen, auch wenn beschrieben wird, dass Rückenprobleme sich zusätzlich negativ auf den psychischen Zustand auswirkten; denn die Rückenproblematik war schon im Vergleichszeitpunkt bekannt und wurde dort ausführlich untersucht und beurteilt (vgl. zusammenfassende Beurteilung im MEDAS-Gutachten p. 20, rheumatologisches MEDAS-Teilgutachten von Dr.J._______, IV-act. 153 p. 33 ). - Vom behandelnden Neuropsychiater (Dr. G._______) werden insgesamt vier Atteste ins Recht gelegt, wovon ein undatiertes Attest wortgleich, wenn auch neu unterschrieben, bereits im Vergleichszeitpunkt vorlag (Bericht vom 14. September 2009 [IV-act. 151, 216 = act. 4 Beilage 1, Übersetzung IV-act. 170]). Bereits zum Vergleichszeitpunkt attestierte der behandelnde Neuropsychiater eine tiefe Depression, samt suizidaler Expression, starke Angst, Insomnie, allgemeine Schwäche, Schwindel, Angespannt- und Reizbarkeit (IV-act. 151 bzw. 170). Im damals erstellten amtlichen Gutachten der MEDAS-Stelle (IV-act. 153) konnten diese vielfältigen und schwerwiegenden Diagnosen nicht bestätigt werden. Der behandelnde Neuropsychiater setzt sich in seinen neueren Attesten nicht mit der abweichenden, gutachterlichen Einschätzung der MEDAS-Stelle auseinander, was auch der RAD-Arzt (Dr. C._______) feststellt (IV-act. 173). Dr. G._______ legt auch nicht dar, inwiefern eine anhaltende und erhebliche Änderung eingetreten sei; vielmehr wiederholt er die bereits früher gestellten Diagnosen bzw. gar das ganze Attest (vgl. IV-act. 216, aber auch Atteste vom 6. Februar 2014 [IV-act. 212 p. 1; Übersetzung doc. 201 p. 3], vom 14. März 2014 [IV-act. 212 p. 2; Übersetzung IV-act. 213], vom 1. September 2014 [IV-act. 212 p. 5; Übersetzung IV-act. 215]; diese drei Atteste entsprechen den Beilagen 2 - 4 zu act. 4). - Zu seiner somatischen Situation bringt der Beschwerdeführer neben dem Bericht einer Akutbehandlung nach Unfall vom 16. August 2014 (Dr. K._______, IV-act. 214), welcher keine langfristigen Gesundheitsbeeinträchtigungen beschreibt, einen Radiologiebericht vom 9. Mai 2013 (IV-act. 192) sowie einen Entlassungsbrief einer stationären physikalischen Rehabilitation vom 28. November bis 8. Dezember 2013 (IV-act. 201, p. 1-2) vor. Sie beschreiben einen Diskusprolaps L5/S1, eine Spondylose der Lendenwirbelsäule und eine Lumboischialgie, wobei nach der Rehabilitation eine Besserung eingetreten sei. Eine analgetische Behandlung ist nicht verzeichnet und es wird denn auch keine Arbeitsunfähigkeit statuiert, sondern lediglich die Vermeidung von Anstrengungen der Wirbelsäule und längeren Zwangspositionen empfohlen. Diese Diagnosen lagen bereits im amtlichen Gutachten zum Vergleichszeitpunkt vor, welches eine wechselbelastende und rückenschonende Tätigkeiten empfahl (vgl. IV-act. 153 p. 32, 20). Deshalb lassen die neuen medizinischen Unterlagen im somatischen Bereich ebenfalls nicht auf eine Verschlechterung des Gesundheitszustandes des Beschwerdeführers schliessen. Demnach hätte auch eine ergänzende Stellungnahme von Dr. E._______ zu den neu eingereichten medizinischen Unterlagen im somatischen Bereich - dessen Nichtvorhandensein der Beschwerdeführer rügt - nicht zu einem anderen Resultat geführt. - Der IV-Allgemeinmediziner Dr. E._______ sowie die IV-Psychiaterin Dr. F._______ haben in ihren Stellungnahmen vom 20. März, 7. Juli und 21. Oktober 2014 ebenfalls festgestellt, dass aus den neuen medizinischen Unterlagen der Dres. H._______, G._______ und K._______ nicht auf eine Verschlechterung geschlossen werden dürfe (IV-act. 203, 207, 218). Ihre Feststellungen sind plausibel und nachvollziehbar. Die IV-Psychiaterin hat sich dabei sehr ausführlich mit den Einwänden des Beschwerdeführers und den neu eingereichten medizinischen Unterlagen auseinandergesetzt. Sie hielt fest, Dr. G._______ halte in seinen Berichten vom 1. September und 1. Oktober 2014 die subjektiven Beschwerden des Beschwerdeführers fest. Den Gutachtern in der Schweiz seien die Folgen der Unfälle bekannt gewesen; diesbezüglich sei der Beschwerdeführer gründlich abgeklärt worden. Aus dem neuen "Unfallereignis" vom 16. August 2014 (Angriff durch einen Landstreicher) könne keine anhaltende Arbeitsunfähigkeit abgeleitet werden. - Am 18. Februar 2015 nahm Dr. F._______ während des Beschwerdeverfahrens nochmals ergänzend Stellung (IV-act. 224). Sie führte aus, für ihre Beurteilung habe sie nochmals die Gutachten der MEDAS und von Dr. B._______ konsultiert. Dort hätten ohne Zweifel degenerative Veränderungen nachgewiesen werden können. Jedoch zeigten sich anamnestisch als auch in den Befunden Inkonsistenzen. Die stark beschwielten schmutzigen Hände stünden im Widerspruch zu den anamnestischen Angaben, dass der Versicherte kaum etwas tun könne. Die Bemuskelung sei (trotz rechtsbetonter Zervikal- und Lumbalbeschwerden [vgl. Sachverhalt B.c]) seitengleich. Auffällig seien auch die nicht dermatombezogenen (nicht durch Reizung eines Rückenmarksnerven ausgelöste) sensiblen Ausfälle, die gegen eine radikuläre Symptomatik sprechen würden. Auffällig sei auch, dass sich der Versicherte trotz demonstrierter Beschwerde ohne Probleme an- und ausziehen könne.</w:t>
      </w:r>
    </w:p>
    <w:p>
      <w:r>
        <w:rPr>
          <w:b/>
        </w:rPr>
        <w:t>E. 5.2</w:t>
      </w:r>
    </w:p>
    <w:p>
      <w:r>
        <w:t>Die erst im Schriftenwechsel vor Bundesverwaltungsgericht beigebrachten Berichte von Dr. L._______ vom 23. November 2014 (Thermalbehandlung vom 13. bis 21. November 2014) und von Dr. G._______ vom 5. Januar 2015 (act. 4 Beilagen 5 und 6 bzw. act. 13 Beilagen 1 und 2), die aktuelle Befunde und Würdigungen wiedergeben, beziehen sich auf Feststellungen nach Erlass der angefochtenen Verfügung vom 29. Oktober 2014. Sie bleiben deshalb vorliegend unbeachtlich (vgl. vorne E. 3.2).</w:t>
      </w:r>
    </w:p>
    <w:p>
      <w:r>
        <w:rPr>
          <w:b/>
        </w:rPr>
        <w:t>E. 5.3</w:t>
      </w:r>
    </w:p>
    <w:p>
      <w:r>
        <w:t>Aufgrund der vorliegend zu berücksichtigenden neuen medizinischen Unterlagen (vgl. Aufzählung in E. 5.1) - es handelt sich ausschliesslich um Berichte der behandelnden Ärzte, welche eingeschränkten Beweiswert aufweisen (vgl. E. 3.7) - ist nicht mit überwiegender Wahrscheinlichkeit nachgewiesen, dass sich der psychiatrische und somatische Gesundheitszustand des Beschwerdeführers anhaltend und in rentenrelevanter Weise verändert hat. Bereits die MEDAS-Gutachter hatten nachvollziehbar die von den behandelnden Ärzten festgehaltenen (deutlich schwerwiegenderen) Erkrankungen als unbegründet entkräftet. Den neu beigebrachten Unterlagen sind - wie in E. 5.1 aufgezeigt - keine konkreten Hinweise dafür zu entnehmen, dass eine erneute Begutachtung zu einem anderen Ergebnis in Bezug auf die Arbeits- und Erwerbsfähigkeit führen könnte, zumal die behandelnden Ärzte wiederum schwerwiegendere Erkrankungen attestieren, ohne dass aus den Akten ersichtlich würde, dass sich die gesundheitliche Situation des Beschwerdeführers seit der MEDAS-Begutachtung verschlechtert hätte und/oder neue Diagnosen hinzugetreten wären. Auf weitere Beweismassnahmen kann bei dieser Sachlage in antizipierter Beweiswürdigung verzichtet werden (vgl. vorne E. 3.4).</w:t>
      </w:r>
    </w:p>
    <w:p>
      <w:r>
        <w:rPr>
          <w:b/>
        </w:rPr>
        <w:t>E. 5.4</w:t>
      </w:r>
    </w:p>
    <w:p>
      <w:r>
        <w:t>Die Vorinstanz hat damit zu Recht festgestellt, dass weiterhin Anspruch auf eine halbe Rente besteht. Die Beschwerde ist deshalb abzuweisen.</w:t>
      </w:r>
    </w:p>
    <w:p>
      <w:r>
        <w:rPr>
          <w:b/>
        </w:rPr>
        <w:t>E. 6</w:t>
      </w:r>
    </w:p>
    <w:p>
      <w:r>
        <w:t>Zu befinden bleibt über die Verfahrenskosten und eine allfällige Parteientschädigung.</w:t>
      </w:r>
    </w:p>
    <w:p>
      <w:r>
        <w:rPr>
          <w:b/>
        </w:rPr>
        <w:t>E. 6.1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und dem geleisteten Kostenvorschuss zu entnehmen.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