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C-7022/2013 vom 10. August 2017</w:t>
      </w:r>
    </w:p>
    <w:p>
      <w:r>
        <w:t>Bundesverwaltungsgericht, 2017-08-10, FR</w:t>
      </w:r>
    </w:p>
    <w:p>
      <w:r>
        <w:rPr>
          <w:b/>
        </w:rPr>
        <w:t xml:space="preserve">Quelle: </w:t>
      </w:r>
      <w:r>
        <w:t>https://mcp.opencaselaw.ch/entscheid/bvger_C-7022_2013</w:t>
      </w:r>
    </w:p>
    <w:p>
      <w:r>
        <w:t>FR: TAF C-7022/2013 du 10 août 2017</w:t>
      </w:r>
    </w:p>
    <w:p>
      <w:r>
        <w:t>IT: TAF C-7022/2013 del 10 agosto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droit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litigieuse (ATF 136 V 24 consid. 4.3 et les références). Lors d'un changement de législation durant la période déterminante, le droit éventuel à des prestations se détermine selon l'ancien droit pour la période antérieure et selon le nouveau dès ce moment-là (application pro rata temporis; ATF 130 V 445, voir aussi l'arrêt du TF 8C_870/2012 du 8 juillet 2013 consid. 2.2). Dans le cas concret, vu l'accident du 21 janvier 2008, la demande du 22 septembre 2008 et la date de la décision attaquée (qui est une première décision), les dispositions dans leur teneur au 22 septembre 2008 et les modifications jusqu'au 5 novembre 2013 sont déterminantes.</w:t>
      </w:r>
    </w:p>
    <w:p>
      <w:r>
        <w:rPr>
          <w:b/>
        </w:rPr>
        <w:t>E. 2.2</w:t>
      </w:r>
    </w:p>
    <w:p>
      <w:r>
        <w:t>L'assurée est ressortissante allemande résidant en France, Etats membres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de souligner que 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3</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n°883/2004). La recourante a versé des cotisations à l'AVS/AI ou une assurance sociale assimilée pendant plus de 3 ans et une année au moins de cotisations peut être comptabilisé en Suisse (en Suisse d'août 2007 à novembre 2008 [TAF pce 5] et en Allemagne de 2002 à 2006 [AI pce 56]). Elle remplit donc la condition de la durée minimale de cotisations comme l'a constaté l'OAIE à juste titre dans son courrier du 3 septembre 2012 (AI pce 32).</w:t>
      </w:r>
    </w:p>
    <w:p>
      <w:r>
        <w:rPr>
          <w:b/>
        </w:rPr>
        <w:t>E. 4.1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 Le délai d'attente selon l'art. 28 al. 1 let. b LAI est réputé avoir commencé dès qu'il a été possible de constater une incapacité de travail de 20% (Jurisprudence et pratique administrative des autorités d'exécution de l'AVS/AI [VSI] 1998 p. 126 consid. 3c).</w:t>
      </w:r>
    </w:p>
    <w:p>
      <w:r>
        <w:rPr>
          <w:b/>
        </w:rPr>
        <w:t>E. 4.3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w:t>
      </w:r>
    </w:p>
    <w:p>
      <w:r>
        <w:t>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En l'occurrence, la section totale du tendon distal du biceps découverte par le Dr Vaucher lors de son expertise du 9 mars 2012 constitue incontestablement un fait nouveau et justifie de revenir sur la décision du 20 mai 2009. Il faut donc procéder à une nouvelle évaluation de l'ensemble du cas. Par conséquent, l'objet du litige est le droit à une rente à partir du 1er mars 2009 et le droit à des mesures de reclassement professionnel.</w:t>
      </w:r>
    </w:p>
    <w:p>
      <w:r>
        <w:rPr>
          <w:b/>
        </w:rPr>
        <w:t>E. 6.1</w:t>
      </w:r>
    </w:p>
    <w:p>
      <w:r>
        <w:t>La recourante et l'OAIE considèrent tous deux qu'aussi bien l'activité d'opératrice à l'estampage que celle de serveuse ne sont plus exigibles et que seule une activité adaptée respectant les limitations fonctionnelles reste possible à 100%. Par contre leurs avis divergent quant à l'ampleur de la perte de gain respectivement l'abattement à retenir dans une telle activité adaptée. Alors que l'OAIE propose de retenir un abattement de 5% dans son évaluation de l'invalidité du 17 février 2014 (TAF pce 5), la recourante considère qu'un abattement de 20% s'impose aussi bien dans son recours que dans sa réplique (TAF pces 1 et 8).</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7.3</w:t>
      </w:r>
    </w:p>
    <w:p>
      <w:r>
        <w:t>Dans un arrêt du 28 juin 2011 (ATF 137 V 210), le Tribunal fédéral a retenu que le recours à des bases de décision médicales fournies par des instituts externes comme les centres d'observation médicale de l'AI (COMAI) et leur utilisation dans la procédure judiciaire sont en eux-mêmes conformes au droit constitutionnel puisque ces centres garantissent la neutralité et l'objectivité requises. Suite à cette nouvelle jurisprudence du Tribunal fédéral, l'art. 72bis RAI a été modifié. Depuis le 1er mars 2012, les expertises comprenant trois ou plus de trois disciplines médicales doivent se dérouler auprès d'un centre d'expertises médicales lié à l'office fédéral par une convention (art. 72bis al. 1 RAI). L'attribution du mandat d'expertise doit se faire de manière aléatoire (art. 72bis al. 2 RAI).</w:t>
      </w:r>
    </w:p>
    <w:p>
      <w:r>
        <w:rPr>
          <w:b/>
        </w:rPr>
        <w:t>E. 8.1</w:t>
      </w:r>
    </w:p>
    <w:p>
      <w:r>
        <w:t>Selon les pièces médicales versées au dossier, en particulier le rapport d'expertise du Dr C._______ du 16 mars 2012 (pce AI 18), l'assurée présente, suite à un accident du 21 janvier 2008, des douleurs et une diminution de la force du membre supérieur droit car la section totale du tendon distal du biceps subie en janvier 2008 n'a jamais été réparée et ne peut plus l'être. De ce fait, ni un travail dans la restauration, ni l'ancienne activité comme opératrice à l'estampage avec des mouvements répétitifs ne sont encore possibles. Dans son rapport du 26 février 2009 (pce AI 17 pages 79 à 81), le Dr B._______, médecin-conseil de la SUVA, avait certes estimé que l'assurée disposait d'une pleine capacité de travail à son poste habituel, mais cette appréciation avait été faite avant la découverte de la section totale du tendon distal du biceps qui explique la diminution à vie de la force du membre supérieur droit. Aussi bien le Dr. B._______ que le Dr C._______ considèrent que dans une activité appropriée l'assurée est tout à fait à même d'avoir une activité à 100% avec un rendement complet. L'assurée ne conteste du reste pas cette appréciation. Le Tribunal constate que les points litigieux importants ont fait l'objet d'une étude circonstanciée dans l'expertise du Dr C._______, que l'expert a découvert une lésion encore inconnue qui explique les plaintes et la perte de force que fait valoir l'assurée, que le rapport d'expertise est neutre et objectif et qu' il a été établi en pleine connaissance de l'anamnèse, que la description du contexte médical et l'appréciation de la situation médicale sont claires et enfin que les conclusions sont dûment motivées comme l'exige la jurisprudence du Tribunal fédéral (ATF 134 V 231 consid. 5.1, 125 V 351 consid. 3a). Le Dr C._______ ne se prononce pas sur la date à partir de laquelle l'assurée peut exercer une activité appropriée. Sur la base de la prise de position du Dr B._______, l'autorité inférieure a retenu la date du 15 mars 2009, ce qui paraît justifié, vu que l'état de santé est stabilisé depuis ce moment-là. Le Tribunal administratif fédéral estime donc qu'au moment de la décision attaquée, et depuis l'accident du 21 janvier 2008, l'assurée ne pouvait plus exercer ses anciennes activités d'opératrice à l'estampage ou de serveuse, mais présentait, au moins depuis le 15 mars 2009, une capacité de travail à plein temps dans une activité appropriée avec un rendement de 100%, à condition de ne pas avoir besoin de solliciter de manière continue son membre supérieur droit, que ce soit en mobilisation du coude ou du poignet, et qu'elle ne doive pas non plus avoir besoin de porter des charges.</w:t>
      </w:r>
    </w:p>
    <w:p>
      <w:r>
        <w:rPr>
          <w:b/>
        </w:rPr>
        <w:t>E. 8.2</w:t>
      </w:r>
    </w:p>
    <w:p>
      <w:r>
        <w:t>Etant donné que la recourante présente, depuis l'accident du 21 janvier 2008, une pleine incapacité de travail dans son activité habituelle d'opératrice à l'estampage, la condition de l'art. 28 al. 1 lit. b LAI, à savoir une incapacité de travail d'au moins 40 % en moyenne durant une année sans interruption notable, est remplie. Il s'agira donc encore d'examiner si la recourante est invalide à 40 % au terme de cette année (art. 28 al. 1 lit. c LAI).</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85/05 du 5 juin 2005 consid. 6 et arrêt du TF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les coûts de la vie ne sont pas les mêmes entre deux pays et ne permettent pas une comparaison objective (ATF 110 V 273 consid. 4b).</w:t>
      </w:r>
    </w:p>
    <w:p>
      <w:r>
        <w:rPr>
          <w:b/>
        </w:rPr>
        <w:t>E. 9.3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10.1</w:t>
      </w:r>
    </w:p>
    <w:p>
      <w:r>
        <w:t>Dans son évaluation de l'invalidité du 19 avril 2013 (pce AI 72), l'OAIE avait augmenté le salaire mensuel sans invalidité (CHF 3'615.05 selon les indications de l'employeur et de la SUVA) de 16,6% parce que le salaire statistique de l'ESS 2010 était 21,6% plus élevé et avait retenu un revenu sans invalidité déterminant de CHF 4'380.46 par mois. Il avait estimé le salaire d'invalide sur la base de l'ESS 2010 pour les activités simples et répétitives à CHF 4'394.- sans procéder à un abattement et constaté que l'assurée ne subissait pas de perte de gain. Dans sa comparaison de salaires du 17 février 2014 jointe à sa réponse au recours (pce TAF 5), l'OAIE a repris un salaire mensuel sans invalidité de CHF 4'380.46. Par contre, pour le salaire d'invalide, il a retenu la moyenne des revenus dans trois branches selon l'ESS 2010 (96: autres services personnels, 47: commerce de détail et 82: activités administratives), soit un montant mensuel de CHF 4'231.52, duquel il a soustrait un abattement de 5% pour tenir compte des limitations fonctionnelles, ce qui donne un salaire d'invalide de CHF 4019.94 par mois et donc une perte de gain de 8,23%.</w:t>
      </w:r>
    </w:p>
    <w:p>
      <w:r>
        <w:rPr>
          <w:b/>
        </w:rPr>
        <w:t>E. 10.2</w:t>
      </w:r>
    </w:p>
    <w:p>
      <w:r>
        <w:t>Dans son recours du 12 décembre 2013 (pce TAF 1) et particulièrement dans sa réplique du 19 mai 2014 (pce TAF 8), la recourante fait valoir que, selon l'ESS 2010, les femmes dans l'horlogerie gagnaient un salaire mensuel de CHF 4'747.55 si on retient un nombre de 41,7 heures hebdomadaires et qu'il fallait donc retenir un revenu de CHF 4'510.15 après la mise en parallèle des revenus. Pour le salaire après invalidité, la recourante est d'avis qu'il faut déduire 20% et non de 5% de la moyenne des revenus dans les trois branches retenues par l'OAIE, ce qui donne un salaire après invalidité de CHF 3'385.20 et donc une perte de gain de 24,94%.</w:t>
      </w:r>
    </w:p>
    <w:p>
      <w:r>
        <w:rPr>
          <w:b/>
        </w:rPr>
        <w:t>E. 10.3</w:t>
      </w:r>
    </w:p>
    <w:p>
      <w:r>
        <w:t>Le Tribunal administratif fédéral constate que l'avis des parties ne divergent que sur deux points: la durée de travail hebdomadaire dans l'horlogerie en 2010 (40,5 ou 41,7 heures) et l'abattement approprié pour tenir compte des limitations fonctionnelles (5% ou 20%). En l'occurrence, il est constant que la recourante, avant l'entrée de l'invalidité, réalisait un revenu qui était de plus de 5% au-dessous de la moyenne. Conformément à la jurisprudence du Tribunal fédéral (ATF 135 V 297 consid, 6 p. 302 ss), il faut procéder à un parallélisme des revenus pour la part dépassant ces 5%. En outre, il faut se baser sur les chiffres de l'année de la naissance du droit à une éventuelle rente, donc 2009 et non 2010 comme l'a fait l'OAIE dans son calcul. Selon l'ESS 2008, le salaire pour les femmes dans la branche 33 (horlogerie) est de CHF 4'388.- pour 40 heures hebdomadaires. La durée usuelle du travail dans cette branche était de 40,5 heures hebdomadaires en 2008 selon l'ESS, il faut donc retenir un salaire de CHF 4'442.85 pour 2008 et de CHF 4'536.14 pour 2009 (2.1 % selon l'évolution des salaires nominaux). Ce salaire est 20,3 % plus élevé que celui que la recourante touchait dans sa dernière activité. Il faut donc augmenter son dernier salaire de 15,3 % ou réduire le salaire usuel dans l'horlogerie, ce qui donne un salaire sans invalidité de CHF 4'168.14. Pour le salaire d'invalide, l'OAIE, dans son évaluation du 17 février 2014, a calculé la moyenne des revenus dans les trois branches retenues: autres services personnels (96), commerce de détail (47) et activités administratives (82), à savoir CHF 4'231.52 sur la base de l'ESS 2010. Etant donné que ce sont les chiffres pour 2009 qui doivent être retenus, il faut se baser sur l'ESS 2008 et indexer le résultat à 2009. Selon l'ESS 2008, le salaire des femmes dans les branches 52 (commerce de détail, réparation d'articles domestiques), 92 (activités récréatives, culturelles, sportives) et 93 (services personnels) pour des activités simples et répétitives (colonne 4) étaient de CHF 4'031, respectivement CHF 4'260 et CHF 3'465 pour 40 heures hebdomadaires. La durée usuelle du travail dans ces branches était de 42,4, respectivement 41,5 et 41,5 heures en 2008 selon l'ESS. Pour 2008, il faut donc retenir un salaire de CHF 4'272.86 (branche 52), CHF 4'419.73 (branche 92) et CHF 3'594.94 (branche 93). Pour 2009, en tenant compte d'une augmentation des salaires nominaux de 2,1%, on obtient un salaire de CHF 4'362.59 (branche 52), respectivement CHF 4'512.56 (branche 92) et CHF 3'670.43 (branche 93). Le salaire moyen de ces trois branches pour 2009 est de CHF 4'181.86. Selon la jurisprudence du Tribunal fédéral (ATF 134 V 322), l'abattement pour tous les facteurs - en relation avec l'invalidité ou étrangers à celle-ci - est limité à un maximum de 25%. Un abattement de 5%, comme le propose l'OAIE, paraît correct, vu que l'assurée demeure capable d'exercer une activité à plein temps. Le salaire d'invalide est donc de CHF 3'972.77 (CHF 4'181.86 moins 5%). Vu le salaire sans invalidité de CHF 4'168.14, la perte de gain est de 4.7 %.</w:t>
      </w:r>
    </w:p>
    <w:p>
      <w:r>
        <w:rPr>
          <w:b/>
        </w:rPr>
        <w:t>E. 10.4</w:t>
      </w:r>
    </w:p>
    <w:p>
      <w:r>
        <w:t>Compte tenu de ce qui précède, le degré d'invalidité était de 100% jusqu'au 14 mars 2009 puisque la recourante ne pouvait plus exercer l'activité antérieure et qu'une activité appropriée n'était pas encore exigible. Vu la demande de prestations présentée le 22 septembre 2008, le droit à la rente naît le 1er mars 2009. Le taux d'invalidité est de 4.7 % à partir du 15 mars 2009 puisqu'à cette date une activité appropriée est de nouveau exigible. Selon l'art. 88a al. 1 RAI, il faut tenir compte de ce changement après 3 mois. La recourante n'a donc plus droit à une rente d'invalidité après le 30 juin 2009.</w:t>
      </w:r>
    </w:p>
    <w:p>
      <w:r>
        <w:rPr>
          <w:b/>
        </w:rPr>
        <w:t>E. 10.5</w:t>
      </w:r>
    </w:p>
    <w:p>
      <w:r>
        <w:t>La recourante demande des mesures de reclassement professionnel. Selon l'art. 17 al. 1 LAI, l'assuré a droit au reclassement dans une nouvelle profession si son invalidité rend cette mesure nécessaire et que sa capacité de gain peut ainsi, selon toute vraisemblance, être maintenue ou améliorée. Le droit aux mesures de reclassement est cependant nié selon la jurisprudence lorsque l'assuré ne subit pas une perte de gain permanente ou de longue durée de 20% au moins environ dans une activité raisonnablement exigible qu'il peut exercer sans autres mesures de réadaptation (arrêt du Tribunal fédéral 8C_716/2016 du 1er février 2017 condid. 4.1.3 et les réf. aux ATF 130 V 488 consid. 4.2 et 124 V 111 consid. 2b; MICHEL VALTERIO, Droit de l'assurance-vieillesse et survivants (LAVS) et de l'assurance-invalidité (LAI), Zurich 2011, n° 1693). En l'occurrence, la recourante présente un taux d'invalidité de 4,7 % et n'a donc pas droit à des mesures de reclassement.</w:t>
      </w:r>
    </w:p>
    <w:p>
      <w:r>
        <w:rPr>
          <w:b/>
        </w:rPr>
        <w:t>E. 10.6</w:t>
      </w:r>
    </w:p>
    <w:p>
      <w:r>
        <w:t>La décision attaquée doit être réformée, comme le propose l'autorité inférieure dans sa réponse, en ce sens que la recourante a droit à une rente entière d'invalidité du 1er mars 2009 au 30 juin 2009. Pour la période dès le 1er juillet 2009, par contre, la décision doit être confirmée et le recours rejeter, puisque la recourante n'a plus droit ni à une rente, ni à aucune autre prestation de l'assurance-invalidité comme des mesures de reclassement professionnel.</w:t>
      </w:r>
    </w:p>
    <w:p>
      <w:r>
        <w:rPr>
          <w:b/>
        </w:rPr>
        <w:t>E. 11.1</w:t>
      </w:r>
    </w:p>
    <w:p>
      <w:r>
        <w:t>La recourante ayant eu gain de cause partiellement et ayant été mise au bénéfice de l'assistance judiciaire, il n'est pas perçu de frais de procédure. L'autorité inférieure ne doit pas payer de frais de procédure non plus (art. 63 al. 2 PA).</w:t>
      </w:r>
    </w:p>
    <w:p>
      <w:r>
        <w:rPr>
          <w:b/>
        </w:rPr>
        <w:t>E. 11.2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