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C-7017/2014 vom 25. September 2015</w:t>
      </w:r>
    </w:p>
    <w:p>
      <w:r>
        <w:t>Bundesverwaltungsgericht, 2015-09-25, DE</w:t>
      </w:r>
    </w:p>
    <w:p>
      <w:r>
        <w:rPr>
          <w:b/>
        </w:rPr>
        <w:t xml:space="preserve">Quelle: </w:t>
      </w:r>
      <w:r>
        <w:t>https://mcp.opencaselaw.ch/entscheid/bvger_C-7017_2014</w:t>
      </w:r>
    </w:p>
    <w:p>
      <w:r>
        <w:t>FR: TAF C-7017/2014 du 25 septembre 2015</w:t>
      </w:r>
    </w:p>
    <w:p>
      <w:r>
        <w:t>IT: TAF C-7017/2014 del 25 settembre 2015</w:t>
      </w:r>
    </w:p>
    <w:p>
      <w:pPr>
        <w:pStyle w:val="Heading2"/>
      </w:pPr>
      <w:r>
        <w:t>Regeste</w:t>
      </w:r>
    </w:p>
    <w:p>
      <w:r>
        <w:t>Einreiseverbot</w:t>
      </w:r>
    </w:p>
    <w:p>
      <w:pPr>
        <w:pStyle w:val="Heading2"/>
      </w:pPr>
      <w:r>
        <w:t>Erwägungen</w:t>
      </w:r>
    </w:p>
    <w:p>
      <w:r>
        <w:rPr>
          <w:b/>
        </w:rPr>
        <w:t>E. 1.1</w:t>
      </w:r>
    </w:p>
    <w:p>
      <w:r>
        <w:t>Vom BFM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w:t>
      </w:r>
    </w:p>
    <w:p>
      <w:r>
        <w:t>Der Beschwerdeführer beanstandet die angefochtene Verfügung zunächst in formeller Hinsicht, indem er der Vorinstanz vorwirft, sich ungenügend mit seinen - einem Einreiseverbot entgegenstehenden - Argumenten auseinandergesetzt und hierdurch sein rechtliches Gehör verletzt zu haben. Hierzu ist feststellen, dass sich der Beschwerdeführer gegenüber der kantonalen Migrationsbehörde des Kantons Aargau mit Schreiben vom 30. Oktober 2014 ausführlich zum beabsichtigten Antrag auf Erlass eines Einreiseverbots geäussert hat. Geschildert hat er dabei insbesondere die mit der Trennung von seiner Familie einhergehen Einschränkungen mitsamt den daraus vermeintlich resultierenden Folgen, beispielsweise den Verlust seines Arbeitsplatzes, die notwendig werdende Erwerbstätigkeit seiner Ehefrau und die dadurch eingeschränkte mütterliche Kinderbetreuung. Dieser Argumentation zufolge ist der Beschwerdeführer überzeugt, unmittelbar nach Aufhebung bzw. nach Ablauf eines kurzzeitigen Einreiseverbots wieder in der Schweiz leben zu können. Nach rechtskräftigem Abschluss seines Aufenthaltsverfahrens hätte ihm allerdings klar sein müssen, dass er sein hiesiges Aufenthaltsrecht verloren hat und ihn die ausgesprochene Fernhaltemassnahme lediglich an zeitlich begrenzten und im übrigen visumpflichtigen Besuchen in der Schweiz hindert (vgl. unten E. 7.2.1). Von daher gab es für die Vorinstanz keine Veranlassung, sich mit den für das Einreiseverbot nicht relevanten Argumenten des Beschwerdeführers auseinanderzusetzen. Schon rein rechtlich konnte sie seine - bei bestehendem Einreiseverbot - vorhandenen familiären Interessen nur dahingehend berücksichtigen, dass sie ihn auf die Möglichkeit von Suspensionsgesuchen hinwies. Der Inhalt der angefochtenen Verfügung spricht somit nicht dafür, dass das rechtliche Gehör des Beschwerdeführers verletzt wurde.</w:t>
      </w:r>
    </w:p>
    <w:p>
      <w:r>
        <w:rPr>
          <w:b/>
        </w:rPr>
        <w:t>E. 4.1</w:t>
      </w:r>
    </w:p>
    <w:p>
      <w:r>
        <w:t>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Von daher ist die Anordnung eines Einreiseverbots vom Risiko einer künftigen Gefährdung - anknüpfend an das frühere Verhalten der betroffenen Person - abhängig (Urteil des BVGer C 2406/2014 vom 19. Februar 2015 E. 4.2 m.H.), weshalb ein solches Risiko bereits von Gesetzes wegen vermutet wird (vgl. Botschaft zum Bundesgesetz über die Ausländerinnen und Ausländer vom 8. März 2002 [im Folgenden: Botschaft], BBl 2002 3760).</w:t>
      </w:r>
    </w:p>
    <w:p>
      <w:r>
        <w:rPr>
          <w:b/>
        </w:rPr>
        <w:t>E. 4.2</w:t>
      </w:r>
    </w:p>
    <w:p>
      <w:r>
        <w:t>Wird gegen eine Person, die nicht das Bürgerrecht eines EU-Mit­gliedstaates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[SIS-II-VO, ABl. L 381/4 vom 28.12.2006]).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5</w:t>
      </w:r>
    </w:p>
    <w:p>
      <w:r>
        <w:t>Die Vorinstanz hat das gegen A._______ verhängte Einreiseverbot mit seiner Verurteilung vom 25. Oktober 2012 begründet. Zweifellos stellen die mit diesem Urteil sanktionierten Straftaten - schwere Körperverletzung und Hehlerei - Verstösse gegen die öffentliche Sicherheit und Ordnung dar, was vom Beschwerdeführer auch gar nicht bestritten wird. Seine Überzeugung, dass von ihm künftig keine entsprechende Gefahr mehr ausgehen werde, ist aufgrund der gegenteiligen gesetzlichen Vermutung (vgl. E. 4.1) nicht massgeblich. Von daher stellen auch die ihm für den Strafvollzug gewährten Vergünstigungen die Anordnung des Einreiseverbots nicht in Frage.</w:t>
      </w:r>
    </w:p>
    <w:p>
      <w:r>
        <w:rPr>
          <w:b/>
        </w:rPr>
        <w:t>E. 6</w:t>
      </w:r>
    </w:p>
    <w:p>
      <w:r>
        <w:t>Die Regeldauer eines Einreiseverbot von höchstens fünf Jahren kann gemäss Art. 67 Abs. 3 AuG überschritten werden, wenn die betroffene Person eine schwerwiegende Gefahr für die öffentliche Sicherheit und Ordnung darstellt. Ein solche Gefahr kann sich ergeben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BVGE 2014/20 E. 5.2 und BGE 139 II 121 E. 6.3 je m.H.).</w:t>
      </w:r>
    </w:p>
    <w:p>
      <w:r>
        <w:rPr>
          <w:b/>
        </w:rPr>
        <w:t>E. 6.1</w:t>
      </w:r>
    </w:p>
    <w:p>
      <w:r>
        <w:t>Demzufolge stellt sich die Frage, ob vom Beschwerdeführer angesichts der von ihm begangenen schweren Körperverletzung (Art. 122 StGB) eine schwerwiegende Gefahr für die öffentliche Sicherheit und Ordnung ausgeht. Seiner Verurteilung liegt ein Sachverhalt zugrunde, den das Bundesgerichts im Urteil vom 4. Juni 2012 wie folgt zusammengefasst hat: Am 29. März 2008 kam es zwischen B._______ und A._______ nach einem Disco-Besuch zu einer Auseinandersetzung. C._______, der das Lokal etwas später verlassen hatte, kam zum Streit hinzu. Er versuchte, A._______ von seinem Freund B._______ fernzuhalten, indem er seinen linken Arm gegen die rechte Schulter seines Widersachers ausstreckte. C._______ fiel nach hinten, als ihn A._______ mit einem Taschenmesser am Brustkorb verletzte. Obwohl er sofort Mühe hatte zu atmen, wollte er wieder aufstehen. Da verpasste ihm A._______ einem Schlag gegen den Kopf, worauf C._______ definitiv zu Boden ging. Die Stichverletzung unterhalb der linken Achsel führte zu einem grossen Bluterguss zwischen den Rippenfellblättern und zu Atemnot. Ohne die erfolgte ärztliche Behandlung (Drainageeinlage) wären tödliche Folgen aufgrund von Sauerstoffmangel und hohem Blutverlust nicht auszuschliessen gewesen. Dem Urteil des Obergerichts des Kantons Aargau vom 25. Oktober 2012 ist der genauere Geschehensablauf zu entnehmen. Er beruht auf der Anklageschrift und blieb, soweit er nicht den Tötungsvorsatz betraf, vom Beschwerdeführer unbestritten. Der insoweit relevante Sachverhalt (Urteil S. 2 f.) macht deutlich, dass der Beschwerdeführer bewusst und mit geöffnetem Taschenmesser Streit mit B._______ suchte. Gegenüber dem an diesem Streit nicht beteiligten C._______ äusserte er, "er mache ihn fertig", und stiess ihm unvermittelt und unkontrolliert das Taschenmesser in den Bereich des linken Brustkorbs. Auch danach war er - so wörtlich im Urteilssachverhalt - "derart in Rage, dass er auf und ab sprang und immerfort schrie: Dich mach ich fertig, ich han 7 Johr Kickboxe gmacht."</w:t>
      </w:r>
    </w:p>
    <w:p>
      <w:r>
        <w:rPr>
          <w:b/>
        </w:rPr>
        <w:t>E. 6.2</w:t>
      </w:r>
    </w:p>
    <w:p>
      <w:r>
        <w:t>Die Tat des Beschwerdeführers, gerichtet gegen Leib und Leben und damit gegen ein besonders hochwertiges Rechtsgut, einhergehend mit grundloser Provokation und Aggressivität, lässt auf erhebliches Verschulden und ausgeprägte Gewaltbereitschaft schliessen. Letztere wird auch dadurch deutlich, dass der Beschwerdeführer bereits vor dieser Tat in einem anderen Lokal grundlos Streit angefangen hatte und nur von seinem Begleiter davon abgehalten werden konnte, sich zu prügeln (o.g. Urteil S. 3 unten). Sein offenbar selbst nur schwer kontrollierbares Verhalten und die lebensbedrohliche Verletzung seines Opfers sprechen damit für eine erhebliche Gefährlichkeit.</w:t>
      </w:r>
    </w:p>
    <w:p>
      <w:r>
        <w:rPr>
          <w:b/>
        </w:rPr>
        <w:t>E. 6.3</w:t>
      </w:r>
    </w:p>
    <w:p>
      <w:r>
        <w:t>Im Urteil vom 25. Oktober 2012 hat das Obergericht des Kantons Aargau - unter Bezugnahme auf die Ausführungen der vorangegangenen Urteile - sowohl die objektiven als auch die subjektiven Merkmale der Tat gewürdigt und ihnen mit einer dreijährigen Freiheitsstrafe Rechnung getragen. Von daher ist im vorliegenden Verfahren nicht mehr entscheidend, dass der Beschwerdeführer im Strafverfahren geständig war und Reue gezeigt hat. Der Strafrahmen von Art. 122 StGB reicht bis zu zehn Jahren Freiheitsstrafe; das Strafmass von drei Jahren berücksichtigt die zu seinen Gunsten sprechenden persönlichen Umstände, bringt die Schwere der Tat und das erhebliche Verschulden des Beschwerdeführers aber immer noch deutlich zum Ausdruck. Hierauf ist auch im ausländerrechtlichen Kontext abzustellen. Die Gewährung des teilbedingten Strafvollzugs und der Vollzug des unbedingten Teils der Freiheitsstrafe in Halbgefangenschaft reduzieren das öffentliche Interesse an seiner Fernhaltung nicht entscheidend. Strafrecht und Ausländerrecht verfolgen nämlich unterschiedliche Ziele und sind unabhängig voneinander anzuwenden. Neben der Sicherheitsfunktion hat der Strafvollzug eine resozialisierende Zielsetzung, während für die Fremdenpolizeibehörden das Interesse der öffentlichen Sicherheit und Ordnung mitsamt generalpräventiven Aspekten im Vordergrund steht. Dies führt dazu, dass der fremdenpolizeiliche Massstab strenger ist, wenn es um die Legalprognose geht (vgl. BGE 137 II 233 E. 5.2.2).</w:t>
      </w:r>
    </w:p>
    <w:p>
      <w:r>
        <w:rPr>
          <w:b/>
        </w:rPr>
        <w:t>E. 6.4</w:t>
      </w:r>
    </w:p>
    <w:p>
      <w:r>
        <w:t>Vor diesem Hintergrund ist festzustellen, dass der Beschwerdeführer eine aktuelle und schwerwiegende Gefahr für die öffentliche Sicherheit und Ordnung darstellt. Dies erlaubt die Anordnung einer Fernhaltemassnahme, welche die Regelhöchstdauer von 5 Jahren überschreitet (Art. 67 Abs. 3 AuG).</w:t>
      </w:r>
    </w:p>
    <w:p>
      <w:r>
        <w:rPr>
          <w:b/>
        </w:rPr>
        <w:t>E. 7</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Zürich und St. Gallen 2010, S. 138 f.).</w:t>
      </w:r>
    </w:p>
    <w:p>
      <w:r>
        <w:rPr>
          <w:b/>
        </w:rPr>
        <w:t>E. 7.1</w:t>
      </w:r>
    </w:p>
    <w:p>
      <w:r>
        <w:t>Die vom Beschwerdeführer ausgehende schwerwiegende Gefahr für die öffentliche Sicherheit und Ordnung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w:t>
      </w:r>
    </w:p>
    <w:p>
      <w:r>
        <w:rPr>
          <w:b/>
        </w:rPr>
        <w:t>E. 7.2</w:t>
      </w:r>
    </w:p>
    <w:p>
      <w:r>
        <w:t>Dem öffentlichen Interesse sind die privaten Interessen des Beschwerdeführers gegenüberzustellen. Dieser macht im Wesentlichen geltend, die wirtschaftliche Existenz seiner Familie sei gefährdet, wenn er als deren Versorger nicht mehr in der Schweiz leben dürfe. Ausserdem müssten dann sein beiden Kinder ohne Vater aufwachsen (vgl. Sachverhalt F.b).</w:t>
      </w:r>
    </w:p>
    <w:p>
      <w:r>
        <w:rPr>
          <w:b/>
        </w:rPr>
        <w:t>E. 7.2.1</w:t>
      </w:r>
    </w:p>
    <w:p>
      <w:r>
        <w:t>Diese Einwände zielen am Verfahrensgegenstand vorbei. Der Beschwerdeführer kann bereits aufgrund des rechtskräftigen Widerrufs seiner Niederlassungsbewilligung nicht mehr bei seiner Familie in der Schweiz wohnen. Das über ihn verhängte Einreiseverbot hat, darüber hinaus, zur Folge, dass er seine hier lebenden Angehörigen auch nicht besuchen kann. Die Verhältnismässigkeit der Massnahme an sich wird dadurch nicht in Frage gestellt, wäre doch ansonsten das Instrument des Einreiseverbots gegenüber allen Personen mit Familienangehörigen in der Schweiz per se unzulässig (vgl. Urteil des BGer 2C_270/2015 vom 6. August 2015 E. 8.2).</w:t>
      </w:r>
    </w:p>
    <w:p>
      <w:r>
        <w:rPr>
          <w:b/>
        </w:rPr>
        <w:t>E. 7.2.2</w:t>
      </w:r>
    </w:p>
    <w:p>
      <w:r>
        <w:t>Gegen das Einreiseverbot bzw. seine Dauer sprächen allenfalls Erschwernisse, die über die Verweigerung des Aufenthaltsrechts hinausgehen und den Schutzbereich von Art. 8 Abs. 1 EMRK berühren. Das Bundesgericht hat dies im Aufenthaltsverfahren des Beschwerdeführers bejaht angesichts des Umstands, dass es für die einbürgerte Ehefrau nicht von vornherein ohne weiteres zumutbar erscheine, mit ihm zusammen auszureisen. Es hat aus diesem Grunde eine Interessenabwägung gemäss Art. 8 Abs. 2 EMRK vorgenommen, die zuungunsten der Ehegatten ausfiel. Entscheidend hierfür war der Aspekt, dass die Ehegatten im Zeitpunkt der Heirat aufgrund des bereits gegen den Ehemann laufenden Strafverfahrens wissen mussten, dass sie ihre Ehe unter Umständen nicht in der Schweiz würden leben können. Das Bundesgericht folgerte hieraus, dass - sollte die Ehefrau mit den beiden Kindern in der Schweiz bleiben - der Kontakt ohne grössere Schwierigkeiten mit gelegentlichen Besuchen und den heute zur Verfügung stehenden Kommunikationsmitteln aufrecht erhalten werden könne (vgl. Urteil des BVGer 2C_147/2014 E. 5.3).</w:t>
      </w:r>
    </w:p>
    <w:p>
      <w:r>
        <w:rPr>
          <w:b/>
        </w:rPr>
        <w:t>E. 7.2.3</w:t>
      </w:r>
    </w:p>
    <w:p>
      <w:r>
        <w:t>Aufgrund des erst nach Beendigung des Aufenthaltsverfahrens erlassenen Einreiseverbots hat der Beschwerdeführer die vom Bundesgericht noch erwähnten Besuchsmöglichkeiten nicht mehr. Vielmehr muss er, wenn er in die Schweiz kommen will, bei der Vorinstanz um Suspensionen des Einreiseverbots ersuchen (vgl. Art. 67 Abs. 5 AuG). Diese sind grundsätzlich zeitlich knapp bemessen, da sie ansonsten dem Sinn des Einreiseverbots zuwiderlaufen würden. Als befristete Aussetzung des Einreiseverbots können sie jedoch schon aus logischen Gründen die Verhältnismässigkeit der ansonsten zulässigen Massnahme (vgl. E. 7.2.1) nicht in Frage stellen. Dass der Beschwerdeführer den Kontakt zu seinen Familiennagehörigen nur in einem engen vorgegebenen zeitlichen Rahmen wird pflegen können, hat er selbst zu verantworten. Dessen ungeachtet bleibt seiner Ehefrau die Möglichkeit, ihn zusammen mit den beiden Kindern in seinem Heimatland zu besuchen. Zudem kann, worauf auch das Bundesgericht und die Vorinstanz hingewiesen haben, der Kontakt durch die heute zur Verfügung stehenden Kommunikationsmittel aufrecht erhalten werden. Dass diese nicht kleinkindgeeignet sind, versteht sich von selbst und ist nicht entscheidungsrelevant.</w:t>
      </w:r>
    </w:p>
    <w:p>
      <w:r>
        <w:rPr>
          <w:b/>
        </w:rPr>
        <w:t>E. 7.2.4</w:t>
      </w:r>
    </w:p>
    <w:p>
      <w:r>
        <w:t>Dass der Beschwerdeführer keine eigentliche strafrechtliche Karriere hinter sich hat, dass er bereits im Alter von vier Jahren in die Schweiz kam und sich hier beruflich integrieren konnte, spricht zu seinen Gunsten. Von daher hat die Vorinstanz das Einreiseverbot, das ansonsten deutlich höher hätte ausfallen können (vgl. E. 6.4), zu recht auf die Dauer von fünf Jahren beschränkt. Den familiären Interessen des Beschwerdeführers hat sie damit in grösstmöglicher Weise - auch im Hinblick auf ein späteres Gesuch um Familiennachzug - Rechnung getragen (vgl. BVGE 2013/4 E. 7.4.6).</w:t>
      </w:r>
    </w:p>
    <w:p>
      <w:r>
        <w:rPr>
          <w:b/>
        </w:rPr>
        <w:t>E. 8</w:t>
      </w:r>
    </w:p>
    <w:p>
      <w:r>
        <w:t>Der vom Beschwerdeführer beanstandete Ausschluss seiner Bewegungsmöglichkeiten im Schengen-Raum ist auf seine Ausschreibung im SIS II zurückzuführen. Eine solche Ausschreibung erfolgt insbesondere angesichts von abgeurteilten oder zu befürchtenden Straftaten gewisser Schwere (Art. 24 Ziff. 2 Bst. a oder Bst. b SIS-II-Verordnung), eine Voraussetzung, die im Falle des Beschwerdeführers erfüllt ist. Die Ausschreibung im SIS II ist somit rechtens.</w:t>
      </w:r>
    </w:p>
    <w:p>
      <w:r>
        <w:rPr>
          <w:b/>
        </w:rPr>
        <w:t>E. 9</w:t>
      </w:r>
    </w:p>
    <w:p>
      <w:r>
        <w:t>Die Abwägung der vorliegenden öffentlichen und privaten Interessen führt somit zum Ergebnis, dass das auf fünf Jahre befristete Einreiseverbot, einhergehend mit einer Ausschreibung im SIS II, eine verhältnismässige und angemessene Massnahme zum Schutz der öffentlichen Sicherheit und Ordnung darstellt.</w:t>
      </w:r>
    </w:p>
    <w:p>
      <w:r>
        <w:rPr>
          <w:b/>
        </w:rPr>
        <w:t>E. 10</w:t>
      </w:r>
    </w:p>
    <w:p>
      <w:r>
        <w:t>Aus diesen Erwägungen folgt, dass die angefochtene Verfügung Bundesrecht nicht verletzt (vgl. Art. 49 VwVG). Die Beschwerde ist daher abzuweisen.</w:t>
      </w:r>
    </w:p>
    <w:p>
      <w:r>
        <w:rPr>
          <w:b/>
        </w:rPr>
        <w:t>E. 11</w:t>
      </w:r>
    </w:p>
    <w:p>
      <w:r>
        <w:t>Entsprechend dem Ausgang des Verfahrens sind dem Beschwerdeführer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