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C-7016/2007 vom 31. März 2008</w:t>
      </w:r>
    </w:p>
    <w:p>
      <w:r>
        <w:t>Bundesverwaltungsgericht, 2008-03-31, DE</w:t>
      </w:r>
    </w:p>
    <w:p>
      <w:r>
        <w:rPr>
          <w:b/>
        </w:rPr>
        <w:t xml:space="preserve">Quelle: </w:t>
      </w:r>
      <w:r>
        <w:t>https://mcp.opencaselaw.ch/entscheid/bvger_C-7016_2007</w:t>
      </w:r>
    </w:p>
    <w:p>
      <w:r>
        <w:t>FR: TAF C-7016/2007 du 31 mars 2008</w:t>
      </w:r>
    </w:p>
    <w:p>
      <w:r>
        <w:t>IT: TAF C-7016/2007 del 31 marzo 2008</w:t>
      </w:r>
    </w:p>
    <w:p>
      <w:pPr>
        <w:pStyle w:val="Heading2"/>
      </w:pPr>
      <w:r>
        <w:t>Regeste</w:t>
      </w:r>
    </w:p>
    <w:p>
      <w:r>
        <w:t>Krankenversicherung (Übriges)</w:t>
      </w:r>
    </w:p>
    <w:p>
      <w:pPr>
        <w:pStyle w:val="Heading2"/>
      </w:pPr>
      <w:r>
        <w:t>Erwägungen</w:t>
      </w:r>
    </w:p>
    <w:p>
      <w:r>
        <w:rPr>
          <w:b/>
        </w:rPr>
        <w:t>E. 1</w:t>
      </w:r>
    </w:p>
    <w:p>
      <w:r>
        <w:t>Laut Art. 34 des Bundesgesetzes über das Bundesverwaltungsgericht vom 17. Juni 2005 (VGG, SR 173.32) beurteilt das Bundesverwaltungsgericht Beschwerden gegen Tarifbeschlüsse der Kantonsregierungen nach Art. 47 des Bundesgesetzes vom 18. März 1994 über die Krankenversicherung (KVG, SR 832.10).</w:t>
      </w:r>
    </w:p>
    <w:p>
      <w:r>
        <w:rPr>
          <w:b/>
        </w:rPr>
        <w:t>E. 2</w:t>
      </w:r>
    </w:p>
    <w:p>
      <w:r>
        <w:t>Aufgrund von Art. 37 VGG richtet sich das Verfahren vor dem Bundesverwaltungsgericht nach dem Bundesgesetz vom 20. Dezember 1968 über das Verwaltungsverfahren (VwVG, SR 172.021), soweit das VGG nichts anderes bestimmt. Ferner finden gemäss Art. 1 Abs. 3 VwVG die Art. 34-38 desselben Gesetzes Anwendung auf das Verfahren letzter kantonaler Instanzen, die gestützt auf öffentliches Recht des Bundes nicht endgültig verfügen.</w:t>
      </w:r>
    </w:p>
    <w:p>
      <w:r>
        <w:rPr>
          <w:b/>
        </w:rPr>
        <w:t>E. 3.1</w:t>
      </w:r>
    </w:p>
    <w:p>
      <w:r>
        <w:t>Nach Art. 50 VwVG ist eine Beschwerde innerhalb von 30 Tagen nach Eröffnung der Verfügung einzureichen. Hinsichtlich der 30-tägigen Frist erweist sich die Rechtsmittelbelehrung des Regierungsrates somit als korrekt.</w:t>
      </w:r>
    </w:p>
    <w:p>
      <w:r>
        <w:rPr>
          <w:b/>
        </w:rPr>
        <w:t>E. 3.2</w:t>
      </w:r>
    </w:p>
    <w:p>
      <w:r>
        <w:t>Betreffend den Beginn des (30-tägigen) Fristenlaufes sei gemäss Rechtsmittelbelehrung des Regierungsrates auf die Publikation im Kantonsblatt abzustellen. Wie jedoch ein Blick in Art. 20 VwVG aufzeigt, beginnt eine (wie im vorliegenden Fall) nach Tagen berechnete Frist an dem auf ihre Mitteilung folgenden Tage zu laufen. Die fristauslösende Mitteilung - die Eröffnung des angefochtenen Beschlusses - verwirklichte sich im vorliegenden Fall am 11. September 2007, als dem Beschwerdeführer der angefochtene Beschluss nach Art. 34 VwVG schriftlich eröffnet wurde. Dem steht nicht entgegen, dass der Beschluss ausserdem gemäss Art. 36 VwVG im Luzerner Kantonsblatt publiziert wurde, da vorliegend noch weitere, nicht ohne weiteres abschliessend eruierbare Personen beschwerdelegitimiert sein könnten. Dass sich die Eröffnung des regierungsrätlichen Beschlusses mittels Publikation des Dispositivs im Kantonsblatt nicht auf den Beschwerdeführer beziehen kann, hätte dieser überdies auch daran erkennen müssen, dass ihm auf dem postalischen Weg nicht nur das Dispositiv, sondern auch die Begründung zugestellt worden ist.</w:t>
      </w:r>
    </w:p>
    <w:p>
      <w:r>
        <w:rPr>
          <w:b/>
        </w:rPr>
        <w:t>E. 3.3</w:t>
      </w:r>
    </w:p>
    <w:p>
      <w:r>
        <w:t>Vorliegend erweist sich daher die Rechtsmittelbelehrung im angefochtenen Beschluss des Regierungsrates insofern als falsch, als der Beschwerdeführer nicht wie angegeben innerhalb von 30 Tagen seit der Publikation im Kantonsblatt, sondern innerhalb von 30 Tagen seit der postalischen Zustellung vom 11. September 2007, somit bis zum 11. Oktober 2007, Beschwerde führen konnte.</w:t>
      </w:r>
    </w:p>
    <w:p>
      <w:r>
        <w:rPr>
          <w:b/>
        </w:rPr>
        <w:t>E. 3.4</w:t>
      </w:r>
    </w:p>
    <w:p>
      <w:r>
        <w:t>Die Unrichtigkeit einer Rechtsmittelbelehrung stellt eine mangelhafte Eröffnung der Verfügung dar, aus denen den Parteien kein Rechtsnachteil erwachsen darf (Art. 38 VwVG). Führte die unzutreffende Rechtsmittelbelehrung zu einer Benachteiligung, so ist gemäss dem Vertrauensprinzip zu erwägen, ob eine Partei den Fehler hätte kennen müssen. Auf eine unrichtige Rechtsmittelbelehrung vermag sich nicht zu berufen, wer die Unrichtigkeit kennt oder bei gebührender Sorgfalt hätte kennen müssen (BGE 121 II 78 mit Hinweisen; BGE 122 II 362). So geniessen die Parteien keinen Schutz, wenn sie oder ihre anwaltlichen Vertreter die Mängel durch Konsultierung des mass-gebenden Gesetzestextes hätten erkennen können (BGE 118 Ib 330). Ein Nachschlagen in Literatur oder Rechtsprechung wird hingegen nicht verlangt.</w:t>
      </w:r>
    </w:p>
    <w:p>
      <w:r>
        <w:rPr>
          <w:b/>
        </w:rPr>
        <w:t>E. 3.5</w:t>
      </w:r>
    </w:p>
    <w:p>
      <w:r>
        <w:t>Wie aufgezeigt ergibt sich aus Art. 20 und 34 VwVG ohne weiteres, dass die Beschwerdefrist am 12. September 2007, einen Tag nach der postalischen Zustellung des Beschlusses an den Beschwerdeführer, zu laufen begann. Die Beschwerde vom 15. Oktober 2007 erweist sich deshalb als verspätet. Der Eröffnungsmangel gebietet aufgrund seiner leichten, bereits aufgrund des Gesetzes ersichtlichen Erkennbarkeit nicht, diese Beschwerde als rechtzeitig zu erachten, bezeichnete doch auch der Rechtsvertreter des Beschwerdeführers die Rechtsmittelbelehrung in seiner Eingabe vom 31. Januar 2007 als "total falsch".</w:t>
      </w:r>
    </w:p>
    <w:p>
      <w:r>
        <w:rPr>
          <w:b/>
        </w:rPr>
        <w:t>E. 3.6</w:t>
      </w:r>
    </w:p>
    <w:p>
      <w:r>
        <w:t>Aus diesen Gründen ist im einzelrichterlichen Verfahren auf die Beschwerde nicht einzutreten (Art. 23 Abs. 1 Bst. B VGG).</w:t>
      </w:r>
    </w:p>
    <w:p>
      <w:r>
        <w:rPr>
          <w:b/>
        </w:rPr>
        <w:t>E. 4.1</w:t>
      </w:r>
    </w:p>
    <w:p>
      <w:r>
        <w:t>Die Verfahrenskosten, bestehend aus den Gerichtsgebühren und den Auslagen, werden im vorliegenden Verfahren - unter Berücksichtigung des Umfanges und der Schwierigkeit der Streitsache, Art der Prozessführung und finanzieller Lage der Parteien - auf pauschal Fr. 1'000.- festgesetzt (Art. 63 Abs. 4bis VwVG in Verbindung mit Art. 1, Art. 2 Abs. 1 und Art. 4 des Reglements über die Kosten und Entschädigungen vor dem Bundesverwaltungsgericht [VGKE], SR 173.320.2). Sie werden dem unterliegenden Beschwerdeführer auferlegt (Art. 63 Abs. 1 VwVG) und sind mit dem geleisteten Kostenvorschuss von Fr. 4'000.- zu verrechnen. Der Restbetrag von Fr. 3'000.- ist dem Beschwerdeführer zurückzuerstatten.</w:t>
      </w:r>
    </w:p>
    <w:p>
      <w:r>
        <w:rPr>
          <w:b/>
        </w:rPr>
        <w:t>E. 4.2</w:t>
      </w:r>
    </w:p>
    <w:p>
      <w:r>
        <w:t>Entsprechend dem Ausgang des Verfahrens ist keine Partei-entschädigung zuzusprechen (Art. 64 Abs. 1 VwVG e contrario).</w:t>
      </w:r>
    </w:p>
    <w:p>
      <w:r>
        <w:rPr>
          <w:b/>
        </w:rPr>
        <w:t>E. 5</w:t>
      </w:r>
    </w:p>
    <w:p>
      <w:r>
        <w:t>Gemäss Art. 83 Bst. r des Bundesgerichtsgesetzes vom 17. Juni 2005 (BGG, SR 173.110) kann der Entscheid nicht mit Beschwerde in öffentlich-rechtlichen Angelegenheiten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