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C-7005/2007 vom 25. Juni 2009</w:t>
      </w:r>
    </w:p>
    <w:p>
      <w:r>
        <w:t>Bundesverwaltungsgericht, 2009-06-25, DE</w:t>
      </w:r>
    </w:p>
    <w:p>
      <w:r>
        <w:rPr>
          <w:b/>
        </w:rPr>
        <w:t xml:space="preserve">Quelle: </w:t>
      </w:r>
      <w:r>
        <w:t>https://mcp.opencaselaw.ch/entscheid/bvger_C-7005_2007</w:t>
      </w:r>
    </w:p>
    <w:p>
      <w:r>
        <w:t>FR: TAF C-7005/2007 du 25 juin 2009</w:t>
      </w:r>
    </w:p>
    <w:p>
      <w:r>
        <w:t>IT: TAF C-7005/2007 del 25 giugno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pakistanische Staatsangehörige unterliegen die Gesuchsteller damit der Visumspflicht.</w:t>
      </w:r>
    </w:p>
    <w:p>
      <w:r>
        <w:rPr>
          <w:b/>
        </w:rPr>
        <w:t>E. 7.1</w:t>
      </w:r>
    </w:p>
    <w:p>
      <w:r>
        <w:t>Der Beschwerdeführer beanstandet in formeller Hinsicht, die Vorinstanz habe ihre Begründungspflicht und damit seinen Anspruch auf rechtliches Gehör verletzt, indem sie in bloss pauschaler Weise auf die wirtschaftliche und soziokulturelle Lage in Pakistan hingewiesen habe, ohne jedoch gehörig auf die Besonderheiten des Einzelfalles einzugehen und insbesondere die persönlichen Verhältnisse der Gesuchsteller nicht berücksichtigt habe.</w:t>
      </w:r>
    </w:p>
    <w:p>
      <w:r>
        <w:rPr>
          <w:b/>
        </w:rPr>
        <w:t>E. 7.2</w:t>
      </w:r>
    </w:p>
    <w:p>
      <w:r>
        <w:t>Gemäss Art. 35 Abs. 1 VwVG sind schriftliche Verfügungen zu begründen. Die Begründungspflicht, die sich aus dem Anspruch auf rechtliches Gehör ergibt (Art. 29 Abs. 2 der Bundesverfassung der Schweizerischen Eidgenossenschaft vom 18. April 1999 [BV, SR 101]), soll unter anderem sicherstellen, dass der Entscheid von der betroffenen Partei sachgerecht angefochten und von der Rechtsmittelinstanz sachgerecht beurteilt werden kann. Die verfügende Behörde muss daher kurz die Überlegungen nennen, von denen sie sich leiten liess und auf die sich der Entscheid stützt (vgl. Pierre Tschannen/Ulrich Zimmerli, Allgemeines Verwaltungsrecht, 2. Aufl., Bern 2005, § 29 Rz. 13; Alfred Kölz/Isabelle Häner, Verwaltungsverfahren und Verwaltungsrechtspflege des Bundes, 2. Aufl., Zürich 1998, S. 128). Dabei kann sie sich auf die für den Entscheid wesentlichen Gesichtspunkte beschränken. Die Anforderungen an die Begründung sind umso höher, je weiter der Entscheidungsspielraum der entscheidenden Behörde und je komplexer die Sach- und Rechtslage ist (vgl. BVGE 2007/27 E. 5.5.2 mit Hinweisen).</w:t>
      </w:r>
    </w:p>
    <w:p>
      <w:r>
        <w:rPr>
          <w:b/>
        </w:rPr>
        <w:t>E. 7.3</w:t>
      </w:r>
    </w:p>
    <w:p>
      <w:r>
        <w:t>Im vorliegenden Verfahren ist nicht von komplexen Sach- oder Rechtsfragen auszugehen, die nach einer besonders ausführlichen Begründung verlangen würden. Bereits eine geringfügig individualisierte Begründung reicht grundsätzlich aus. Im Wesentlichen beschränkt sich die Prüfung der Voraussetzungen betreffend gesicherter Wiederausreise eines Gesuchstellers denn auch auf eine Würdigung aller Umstände des konkreten Einzelfalls (Herkunft, wirtschaftliche Verhältnisse, familiäre Situation etc.). Die Vorinstanz stellte bei der Beurteilung, ob eine fristgerechte Wiederausreise der Gesuchsteller nach dem Besuchsaufenthalt gesichert sei, einzig auf die im Herkunftsland der Gesuchsteller herrschenden, wirtschaftlichen und soziokulturellen Verhältnisse ab. Die persönlichen Verhältnisse fanden hingegen keinerlei Erwähnung. Der Beschwerdeführer hält somit zurecht fest, keinem pakistanischen Staatsangehörigen könnte je ein Besuchervisum erteilt werden, würde eine einzig mit solchen allgemeinen Hinweisen begründete Verweigerung eines Visums den Anforderungen an die Begründungspflicht genügen. Unter derartigen Umständen lässt sich nicht feststellen, welche Massstäbe die Vorinstanz im Zusammenhang mit der Gewähr einer fristgemässen Wiederausreise setzt. Die Vorinstanz hat demnach das rechtliche Gehör der zur Beschwerde legitimierten Personen - der Gesuchsteller und des Beschwerdeführers - verletzt.</w:t>
      </w:r>
    </w:p>
    <w:p>
      <w:r>
        <w:rPr>
          <w:b/>
        </w:rPr>
        <w:t>E. 7.4</w:t>
      </w:r>
    </w:p>
    <w:p>
      <w:r>
        <w:t>Grundsätzlich führt die Verletzung des rechtlichen Gehörs ungeachtet der Erfolgsaussichten der Beschwerde in der Sache selbst zur Aufhebung der angefochtenen Verfügung. Nach ständiger Praxis des Bundesgerichts kann eine Verletzung des Gehörsanspruchs aber als geheilt gelten,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aus einer Heilung kein Nachteil erwachsen und eine solche soll die Ausnahme bleiben (BGE 129 I 129 E. 2.2.3 S. 135; 126 I 68 E. 2 S. 72; Michele Albertini, Der verfassungsmässige Anspruch auf rechtliches Gehör im Verwaltungsverfahren des modernen Staates, Bern 2000, S. 458 ff.; bezüglich der Verletzung der Begründungspflicht explizit BGE 118 Ib 111 E. 4b S. 120 f., 117 Ib E. 4 S. 87; René A. Rhinow/Beat Krähenmann, Schweizerische Verwaltungsrechtsprechung, Ergänzungsband, Basel 1990, Nr. 87 B IIIb).</w:t>
      </w:r>
    </w:p>
    <w:p>
      <w:r>
        <w:rPr>
          <w:b/>
        </w:rPr>
        <w:t>E. 7.5</w:t>
      </w:r>
    </w:p>
    <w:p>
      <w:r>
        <w:t>Zwar hat die Vorinstanz im Rahmen der Vernehmlassung trotz der entsprechenden Rüge in der Beschwerde keine hinreichende, die persönlichen Verhältnisse der Gesuchsteller berücksichtigende Begründung nachgereicht. Da das Bundesverwaltungsgericht allerdings keine engere Kognition als die Vorinstanz hat, der Beschwerdeführer die zu würdigenden Verhältnisse der Gesuchsteller in seinen Eingaben dargelegt hat sowie mit Verfügung vom 25. Februar 2009 zur nochmaligen Stellungnahme bezüglich der persönlichen Verhältnisse der Gesuchsteller aufgefordert wurde, wird der Mangel durch die vorliegende Beurteilung durch das Bundesverwaltungsgericht - ohne nachteilige Konsequenzen für den Beschwerdeführer - geheilt.</w:t>
      </w:r>
    </w:p>
    <w:p>
      <w:r>
        <w:rPr>
          <w:b/>
        </w:rPr>
        <w:t>E. 8.1</w:t>
      </w:r>
    </w:p>
    <w:p>
      <w:r>
        <w:t>Vorliegend gilt es zu beurteilen, ob das Kriterium der gesicherten Wiederausreise erfüllt ist, wobei auf ein zukünftiges Verhalten abzustellen ist.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8.2</w:t>
      </w:r>
    </w:p>
    <w:p>
      <w:r>
        <w:t>Die pakistanische Wirtschaft konnte in den vergangenen Jahren hohe reale Wachstumsraten aufweisen. Dieser positive Trend kam im letzten Jahr zu einem schnellen Ende. Nach einem Wirtschaftswachstum von 7% im Haushaltsjahr 2006/2007 ist die pakistanische Wirtschaft im Haushaltsjahr 2007/2008 lediglich um 5.7% gewachsen. Für das Jahr 2008/2009 prognostiziert der Internationale Währungsfonds lediglich ein Wachstum von 2.5%. Im internationalen Vergleich fällt Pakistan denn auch in die Kategorie der Länder mit niedrigen Einkommen. Zudem ist auch die politische Lage instabil. Bei den Parlamentswahlen vom 18. Februar 2008 ging die bisher oppositionelle Pakistan Peoples Party (PPP) als klare Siegerin hervor. Die pakistanische Regierung steht jedoch vor grossen Herausforderungen, insbesondere Wirtschaftsprobleme (Energiekrise, Preissteigerungen, Haushalts- und Leistungsbilanzdefizit), die Häufigkeit von schweren terroristischen Anschlägen und die fortdauernden Unruhen in den an Afghanistan grenzenden Stammesgebieten erfordern baldige und schwierige Entscheidungen (vgl. Länder- und Reiseinformationen auf der Website des Auswärtigen Amtes, &lt;http://www. auswaertiges-amt.de&gt;, Länder, Reisen und Sicherheit &gt; Pakistan &gt; Wirtschaft, Innenpolitik, Stand vom April 2009, besucht im Juni 2009). Das Land verzeichnet aus diesen Gründen eine anhaltend hohe Emigrationsrate, wobei nicht nur weitere Teile des arabischen Raumes, sondern auch Europa und hier unter anderem die Schweiz zu den Wunschdestinationen pakistanischer Staatsangehöriger gehören. Diese Tendenz zur Auswanderung zeigt sich erfahrungsgemäss besonders stark bei Personen, die bereits über ein soziales Beziehungsnetz im Ausland (Verwandte oder Freunde) verfügen. Im Falle der Schweiz führt dies angesichts der restriktiven fremdenpolizeilichen Zulassungsregelung nicht selten zur Umgehung ausländerrechtlicher Bestimmungen.</w:t>
      </w:r>
    </w:p>
    <w:p>
      <w:r>
        <w:rPr>
          <w:b/>
        </w:rPr>
        <w:t>E. 8.3</w:t>
      </w:r>
    </w:p>
    <w:p>
      <w:r>
        <w:t>Bei der Risikoanalyse sind aber - wie bereits vorgängig ausgeführt (vgl. Ziff. 7.3) - nicht nur solche allgemeinen Umstände und Erfahrungen, sondern auch sämtliche Gesichtspunkte des konkreten Einzelfalles zu berücksichtigen. Obliegt einem Gesuchsteller bzw. einer Gesuchstellerin im Heimat- oder ständigen Aufenthaltsstaat beispielsweise eine besondere berufliche, gesellschaftliche oder familiäre Verantwortung, kann dieser Umstand durchaus die Prognose für eine anstandslose Wiederausreise begünstigen. Umgekehrt muss bei Gesuchstellern und Gesuchstellerinnen, die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8.3.1</w:t>
      </w:r>
    </w:p>
    <w:p>
      <w:r>
        <w:t>Beim Gesuchsteller handelt es sich um einen 59-jährigen, verheirateten Mann, der mit seiner Tochter - welche Hausfrau ist - und seinen betagten Eltern in einem gemeinsamen Haushalt lebt. Bei Abwesenheit der Gesuchsteller würde die Schwester des Gesuchstellers anreisen, um für die Eltern zu sorgen (vgl. Beschwerde vom 15. Oktober 2007). Aus einer mit Replik eingereichten eidesstattlichen Erklärung vom 11. Dezember 2007 geht hingegen hervor, um die Betreuung des Vaters - wie auch um das Geschäft des Gesuchstellers - kümmere sich sein Bruder. Nähere Angaben über Art und Umfang der Betreuung sind den Akten nicht zu entnehmen. Wenn es dem Bruder des Gesuchstellers jedoch möglich ist, nebst der Geschäftsführung des Gemüseladens auch die Betreuung des Vaters zu übernehmen, muss davon ausgegangen werden, die Eltern (bzw. der Vater) seien nicht auf eine intensive Betreuung angewiesen und diese könne deshalb auch problemlos von anderen Personen wahrgenommen werden.</w:t>
      </w:r>
    </w:p>
    <w:p>
      <w:r>
        <w:rPr>
          <w:b/>
        </w:rPr>
        <w:t>E. 8.3.2</w:t>
      </w:r>
    </w:p>
    <w:p>
      <w:r>
        <w:t>In wirtschaftlicher Hinsicht wird geltend gemacht, der Gesuchsteller führe seit mehreren Jahren einen gut gehenden Gemüseladen. Auf der beschwerdeweise eingereichten eidesstattlichen Erklärung vom 3. Oktober 2007 wurde festgehalten, dass er mit dem Lebensmittelgeschäft ein monatliches Einkommen von ca. 18'000.- Pakistanischen Rupien (PKR) erwirtschafte (ca. Fr. 237.-). Daneben besitze er noch zwei Häuser, welche er vermiete, was ihm einen monatlichen Zusatzverdienst von 20'000.- PKR (ca. Fr. 263.-) einbringe. Dank diesen beiden Einkünften befinde er sich in sehr guten finanziellen Verhältnissen, was ihm und seiner Familie ein sehr glückliches Leben in Pakistan ermögliche. In der eidesstattlichen Erklärung vom 6. Dezember 2007, welcher der Replik beilag, hält der Gesuchsteller dagegen fest, das Lebensmittelgeschäft bringe ihm einen monatlichen Verdienst von ca. 20'000.- PKR. Als Mieteinnahmen der beiden Häuser erhalte er monatlich 15'000.- PKR (ca. Fr. 197.-). Abgesehen von den in den Erklärungen unterschiedlich genannten Beträgen betreffend monatlicher Einnahmen des Gesuchstellers, lässt auch die Höhe des darin aufgeführten monatlichen Einkommens gewisse Zweifel an den diesbezüglichen Ausführungen aufkommen. Das monatliche Einkommen des Gesuchstellers von ca. 38'000 PKR (ca. 469 US-Dollar) resp. 35'000 PKR (ca. 432 US-Dollar) ist in Anbetracht der Tatsache, dass er einen - wenn auch gut gehenden - Gemüseladen führe, auffallend hoch. So liegt das durchschnittliche pakistanische Pro-Kopf-Einkommen pro Jahr bei 925 US-Dollar (für das Jahr 2007) (vgl. NZZ Online vom 16. Februar 2008 auf der Webseite der Neuen Zürcher Zeitung, &lt;www.nzz.ch&gt;, Nachrichten &gt; Medien &gt; Die Wirtschaftskrise in Pakistan wird die Wahlen mitentscheiden). Auch die unregelmässigen finanziellen Zuwendungen des Beschwerdeführers an seine Familie lassen nicht darauf schliessen, der Gesuchsteller lebe in vorteilhaften und stabilen wirtschaftlichen Verhältnissen. Gleiches gilt auch für den Umstand, dass vom Einkommen des Gesuchstellers wohl auch die nicht berufstätige Gesuchstellerin und seine betagten Eltern leben.</w:t>
      </w:r>
    </w:p>
    <w:p>
      <w:r>
        <w:rPr>
          <w:b/>
        </w:rPr>
        <w:t>E. 8.3.3</w:t>
      </w:r>
    </w:p>
    <w:p>
      <w:r>
        <w:t>Der Beschwerdeführer will denn auch besondere Gewähr für eine anstandslose Wiederausreise des Gesuchstellers darin sehen, dass dieser sich schon aufgrund seines Alters nicht mehr für eine Emigration entscheiden könnte. Sicherlich spielt das Alter eine Rolle, wenn es um die Bereitschaft und Fähigkeit geht, aus dem eigenen Land zu emigrieren. Dieses Alter steht aber immer in einem Konnex zu den sozialen und wirtschaftlichen Verhältnissen, die im Heimatland herrschen. Die Erfahrung zeigt denn auch, dass aufgrund des grossen Gefälles bezüglich Löhne und sozialer Leistungen zwischen der Schweiz und Pakistan selbst ein für einheimische Verhältnisse gutes Einkommen nicht nachhaltig davon abhalten kann, das Heimatland dauerhaft zu verlassen. Nicht unbeachtet bleiben darf unter diesen Umständen zudem, dass die heimatlichen Einkünfte durch eine Emigration des Gesuchstellers nicht verloren gehen würden, kann ja dessen Bruder das Geschäft weiterführen und dafür sorgen, dass die beiden Häuser vermietet werden. Jedenfalls kann aufgrund der konkreten Umstände nicht davon ausgegangen werden, die dargelegte wirtschaftliche Situation der Gesuchsteller für sich allein könne verlässlich von einer Emigration abhalten.</w:t>
      </w:r>
    </w:p>
    <w:p>
      <w:r>
        <w:rPr>
          <w:b/>
        </w:rPr>
        <w:t>E. 8.3.4</w:t>
      </w:r>
    </w:p>
    <w:p>
      <w:r>
        <w:t>Bei der Gesuchstellerin handelt es sich um eine 32-jährige, unverheiratete Frau. Eine Hochzeit sei im Jahr 2008 geplant gewesen. Ob diese stattfand, kann den Akten nicht entnommen werden, insbesondere wurden auch in der abschliessenden Stellungnahme vom 17. März 2009 keine Angaben dazu gemacht. Bekannt ist hingegen, dass es sich beim (zukünftigen) Ehemann um einen Landsmann der Gesuchstellerin handle und sich die beiden entschieden hätten, für immer in Pakistan zu bleiben. Inwiefern aber eine (geplante) Heirat von einer allfälligen Emigration abhalten sollte, wird nicht erörtert. Die geltend gemachte Heirat kann somit nicht zum Schluss führen, es oblägen der Beschwerdeführerin zwingende familiäre oder persönliche Verpflichtungen in ihrem Heimatland. Vielmehr ist der Wunsch nach einer Emigration in einer solchen Familienkonstellation häufig auch mit der Erwartung verbunden, den Ehepartner später nachziehen zu können.</w:t>
      </w:r>
    </w:p>
    <w:p>
      <w:r>
        <w:rPr>
          <w:b/>
        </w:rPr>
        <w:t>E. 8.3.5</w:t>
      </w:r>
    </w:p>
    <w:p>
      <w:r>
        <w:t>Berufliche Verpflichtungen werden von der Gesuchstellerin, die keine Berufsausbildung absolviert hat, nicht geltend gemacht.</w:t>
      </w:r>
    </w:p>
    <w:p>
      <w:r>
        <w:rPr>
          <w:b/>
        </w:rPr>
        <w:t>E. 8.4</w:t>
      </w:r>
    </w:p>
    <w:p>
      <w:r>
        <w:t>Auch die weiteren Ausführungen des Beschwerdeführers - insbesondere die mit abschliessender Stellungnahme geltend gemachte Ergänzung, die Gesuchsteller würden sich nach dem Besuchsaufenthalt bei der Schweizer Auslandvertretung in Islamabad melden - sind nicht dazu geeignet, zu einer von der Vorinstanz abweichenden rechtlichen Würdigung zu gelangen.</w:t>
      </w:r>
    </w:p>
    <w:p>
      <w:r>
        <w:rPr>
          <w:b/>
        </w:rPr>
        <w:t>E. 9</w:t>
      </w:r>
    </w:p>
    <w:p>
      <w:r>
        <w:t>Der Beschwerdeführer macht des Weiteren geltend, zur Leistung einer Kaution bereit zu sein, um die "Kosten der Ausweisung der Gesuchsteller bei deren nicht fristgerechten und anstandslosen Wiederausreise" abdecken zu können (vgl. Beschwerde vom 15. Oktober 2007, S. 6). Dazu gilt es festzuhalten, dass das Gesetz zwar die Hinterlegung einer Kaution vorsieht (Art. 6 Abs. 3 AuG), allerdings wird diese weder auf Verordnungsebene noch in den Weisungen ausgestaltet. Welche Intentionen der Gesetzgeber mit der Kaution letztlich verfolgen wollte, kann aber in casu offen gelassen werden. Es wäre am Beschwerdeführer gelegen, mit der zuständigen kantonalen Behörde vorgängig eine konkrete Vereinbarung zwecks Hinterlegung der Kaution zu treffen. Selbst bei einer allfälligen Kautionshinterlegung sind aber bei der Abwägung des Risikos einer nicht fristgerechten Wiederausreise nicht so sehr die Einstellung und Absichten des Gastgebers, sondern in erster Linie das mögliche Verhalten des Gastes selbst von Bedeutung. Nur Letzterer ist in der Lage, hinreichend Gewähr für eine fristgerechte und anstandslose Wiederausreise zu bieten. Der Gastgeber kann zwar für gewisse finanzielle Risiken (Lebensunterhaltskosten während des Besuchsaufenthaltes, allfällige Kosten für Unfall und Krankheit sowie Rückreisekosten) eine Sicherheit leisten. Für ein bestimmtes Verhalten des Gastes kann er aber, mangels rechtlicher und faktischer Durchsetzbarkeit, nicht garantieren (vgl. anstelle vieler: Urteile des Bundesverwaltungsgerichts C-2618/2008 vom 26. Februar 2009 E. 11 und C-8300/2007 vom 19. November 2008 E. 5.3). Die Gewähr für eine gesicherte Wiederausreise kann durch die Leistung einer Kaution nicht ersetzt werden. Inwiefern das Verhältnismässigkeitsprinzip unter den gegebenen Umständen verletzt sein sollte, ist nicht ersichtlich. Der Vorinstanz ist hingegen insoweit zu folgen, als die fremdenpolizeiliche Vorgeschichte des Gastgebers durchaus mit zu berücksichtigen ist.</w:t>
      </w:r>
    </w:p>
    <w:p>
      <w:r>
        <w:rPr>
          <w:b/>
        </w:rPr>
        <w:t>E. 10</w:t>
      </w:r>
    </w:p>
    <w:p>
      <w:r>
        <w:t>Aus diesen Darlegungen folgt, dass die angefochtene Verfügung im Ergebnis rechtmässig ist (Art. 49 VwVG). Die Beschwerde ist demzufolge abzuweisen.</w:t>
      </w:r>
    </w:p>
    <w:p>
      <w:r>
        <w:rPr>
          <w:b/>
        </w:rPr>
        <w:t>E. 11</w:t>
      </w:r>
    </w:p>
    <w:p>
      <w:r>
        <w:t>Entsprechend dem Ausgang des Verfahrens hat der Beschwerdeführer die Kosten zu tragen (Art. 63 Abs. 1 VwVG). Diese sind auf Fr. 600.- festzusetzen (Art. 1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