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C-6/2008 vom 22. September 2009</w:t>
      </w:r>
    </w:p>
    <w:p>
      <w:r>
        <w:t>Bundesverwaltungsgericht, 2009-09-22, IT</w:t>
      </w:r>
    </w:p>
    <w:p>
      <w:r>
        <w:rPr>
          <w:b/>
        </w:rPr>
        <w:t xml:space="preserve">Quelle: </w:t>
      </w:r>
      <w:r>
        <w:t>https://mcp.opencaselaw.ch/entscheid/bvger_C-6_2008</w:t>
      </w:r>
    </w:p>
    <w:p>
      <w:r>
        <w:t>FR: TAF C-6/2008 du 22 septembre 2009</w:t>
      </w:r>
    </w:p>
    <w:p>
      <w:r>
        <w:t>IT: TAF C-6/2008 del 22 settembre 2009</w:t>
      </w:r>
    </w:p>
    <w:p>
      <w:pPr>
        <w:pStyle w:val="Heading2"/>
      </w:pPr>
      <w:r>
        <w:t>Regeste</w:t>
      </w:r>
    </w:p>
    <w:p>
      <w:r>
        <w:t>Assicurazione per l'invalidità (altro)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nel rispetto dei requisiti previsti dalla legge (art. 59 e 60 LPGA, nonché l'art. 52 cpv. 1 PA), e visto che il ricorrente ha provveduto a versare nel temine impartito l'anticipo di Fr. 300.-, relativo alle spese giudiziarie.</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e della LPGA, in vigore dal 1° gennaio 2008, non sono pertanto applicabili nel caso concreto e di seguito è fatto riferimento alle disposizioni in vigore fino al 31 dicembre 2007.</w:t>
      </w:r>
    </w:p>
    <w:p>
      <w:r>
        <w:rPr>
          <w:b/>
        </w:rPr>
        <w:t>E. 4</w:t>
      </w:r>
    </w:p>
    <w:p>
      <w:r>
        <w:t>Il ricorrente ha contestato la validità formale della decisione dell'UAIE, rilevando che essa sarebbe nulla poiché priva di motivazione.</w:t>
      </w:r>
    </w:p>
    <w:p>
      <w:r>
        <w:rPr>
          <w:b/>
        </w:rPr>
        <w:t>E. 4.1</w:t>
      </w:r>
    </w:p>
    <w:p>
      <w:r>
        <w:t>Il diritto di essere sentito, la cui garanzia è prevista all'art. 29 cpv. 2 della Costituzione federale della Confederazione svizzera del 18 aprile 1999 (Cost, RS 101), comprende il diritto per l'assicurato di prendere conoscenza dell'incarto (DTF 132 II 485 consid. 3, 126 I 7 consid. 2b), di esprimersi prima che una decisione sia emessa nei suoi confronti, di produrre delle prove pertinenti, di partecipare all'amministrazione delle prove essenziali, di prenderne conoscenza e di potersi esprimere in merito, allorquando questo è proprio ad influenzare la decisione da emanare (cfr. DTF 124 II 132 consid. 2b e giurisprudenza ivi citata). Nel quadro della procedura amministrativa il diritto di essere sentito è consacrato dagli art. 26 a 28 (diritto di esaminare gli atti), dagli art. 29 a 33 (diritto di essere sentito stricto sensu) e dall'art. 35 PA (diritto di ottenere una decisione motivata).</w:t>
      </w:r>
    </w:p>
    <w:p>
      <w:r>
        <w:rPr>
          <w:b/>
        </w:rPr>
        <w:t>E. 4.2</w:t>
      </w:r>
    </w:p>
    <w:p>
      <w:r>
        <w:t>La giurisprudenza ha dedotto dal diritto di essere sentito, definito dalle norme speciali di procedura (quali l'art. 35 PA) l'obbligo per l'autorità di motivare la sua decisione, così da permettere ai destinatari ed a tutte le persone interessate di comprenderla, di impugnarla ed in modo da rendere possibile all'autorità di ricorso adita di esercitare convenientemente il suo controllo (DTF 129 I 232 consid. 3.2; DTF 126 I 97 consid. 2b; DTF 122 IV 8 consid. 2c, DTF 112 Ia 107 consid. 2b; cfr. inoltre la sentenza del Tribunale federale 2A.496/2006/ 2A.497/2006 del 15 ottobre 2007 consid. 5.1.1). Si è in presenza di una violazione del diritto di essere sentito se l'autorità non soddisfa al suo obbligo di esaminare e di trattare i problemi pertinenti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le esigenze legate alla motivazione della decisione devono essere elevate (DTF 112 Ia 107 consid. 2b; cfr. inoltre la sentenza del Tribunale federale 2A.496/2006 / 2A.497/2006 precitata). Sebbene la motivazione debba fare emergere le riflessioni dell'autorità in merito agli elementi (di fatto o di diritto) essenziali che hanno influenzato la decisione, l'autorità non è comunque tenuta a pronunciarsi su tutti i fatti, argomentazioni e mezzi di prova invocati dalle parti, ma può limitarsi a quelli che, senza arbitrio, le sembrano decisivi per la risoluzione della causa (DTF 126 I 97 consid. 2b; DTF 112 Ia 107 consid. 2b). È sufficiente che l'amministrazione indichi brevemente i motivi della decisione e quali sono gli elementi alla base di quest'ultima (DTF 124 V 180, consid. 1a, confermato nella sentenza del Tribunale federale, del 9 maggio 2000, in re I., ed in Pra 2001, n. 71, consid. 1 a/bb).</w:t>
      </w:r>
    </w:p>
    <w:p>
      <w:r>
        <w:rPr>
          <w:b/>
        </w:rPr>
        <w:t>E. 4.3</w:t>
      </w:r>
    </w:p>
    <w:p>
      <w:r>
        <w:t>Il diritto di ottenere una decisione motivata costituisce una garanzia costituzionale di natura formale, la cui violazione causa in principio l'annullamento della decisione impugnata indipendentemente dalle possibilità di esito favorevole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che disponga di piena cognizione (DTF 133 I 201 consid. 2.2; DTF 130 II 530 consid. 7.3; DTF 126 V 130 consid. 2b; DTF 124 V 389 consid. 5a e 180 consid. 4a).</w:t>
      </w:r>
    </w:p>
    <w:p>
      <w:r>
        <w:rPr>
          <w:b/>
        </w:rPr>
        <w:t>E. 4.4</w:t>
      </w:r>
    </w:p>
    <w:p>
      <w:r>
        <w:t>In concreto, la motivazione della decisione impugnata appare certo succinta, ma ciò non ha però impedito il ricorrente di comprenderne la portata e di deferirla all'istanza superiore. Nell'ambito del ricorso, infatti, egli ha potuto difendersi in maniera corretta, nella misura in cui è stato in grado di dedurre i fatti su cui la decisione si fonda e le ragioni per cui è stata pronunciata. Tuttavia, anche se la decisione fosse considerata non sufficientemente motivata, si rileva che tale carenza sarebbe sanata dal ricorso davanti al Tribunale amministrativo federale, il quale dispone di un pieno potere d'esame (fatti e diritto). Visto quanto precede, la censura del ricorrente in ordine all'insufficienza della motivazione e, quindi, alla violazione del diritto di essere sentito, deve essere respinta.</w:t>
      </w:r>
    </w:p>
    <w:p>
      <w:r>
        <w:rPr>
          <w:b/>
        </w:rPr>
        <w:t>E. 5</w:t>
      </w:r>
    </w:p>
    <w:p>
      <w:r>
        <w:t>Il ricorrente ha contestato la validità materiale della decisione dell'UAIE, chiedendo che gli sia riconosciuto il diritto ad una rendita intera d'invalidità non limitata nel tempo.</w:t>
      </w:r>
    </w:p>
    <w:p>
      <w:r>
        <w:rPr>
          <w:b/>
        </w:rPr>
        <w:t>E. 6</w:t>
      </w:r>
    </w:p>
    <w:p>
      <w:r>
        <w:t>Secondo le norme applicabili, per avere diritto ad una rendita dell'assicurazione invalidità svizzera, un cittadino italiano deve adempiere, cumulativamente, le seguenti condizioni: - essere invalido ai sensi della legge svizzera; - aver versato contributi all'AVS/AI svizzera durante un anno intero almeno (art. 36 cpv. 1 LAI). In concreto, è pacifico che il ricorrente ha versato contributi all'AVS/AI svizzera durante più di un anno intero (doc. 138) e, pertanto, adempie la condizione della durata minima di contribuzione, alla quale la legge subordina l'erogazione di una rendita.</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dell'Unione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7.5</w:t>
      </w:r>
    </w:p>
    <w:p>
      <w:r>
        <w:t>La nozione d'invalidità di cui all'art. 4 LAI e 8 LPGA è di carattere giuridico economico, non medico (DTF 116 V 249 consid. 1b).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8.1</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tale caso applicherà, per analogia, le disposizioni sulla revisione di rendite in corso (art. 17 cpv. 1 LPGA, art. 87 segg. OAI, Jurisprudence et pratique administrative [Pratique VSI] 1999 pag. 8, DTF 117 V 198).</w:t>
      </w:r>
    </w:p>
    <w:p>
      <w:r>
        <w:rPr>
          <w:b/>
        </w:rPr>
        <w:t>E. 8.2</w:t>
      </w:r>
    </w:p>
    <w:p>
      <w:r>
        <w:t>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272 consid. 1a, 109 V 116 consid. 3b, 105 V 30; RCC 1989 pag. 323 consid. 2a). Affinché sia possibile procedere alla revisione di una rendita,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e 1985, pag. 336). In concreto, il periodo di riferimento per giudicare se verosimilmente è intervenuta una modifica rilevante del grado d'invalidità, tale da giustificare il riconoscimento del diritto ad una rendita, è quello tra il 2 aprile 2003, data della decisione su opposizione inerente la prima richiesta di prestazioni ed il 21 novembre 2007, data della decisione impugnata (doc. 169).</w:t>
      </w:r>
    </w:p>
    <w:p>
      <w:r>
        <w:rPr>
          <w:b/>
        </w:rPr>
        <w:t>E. 9</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10.1</w:t>
      </w:r>
    </w:p>
    <w:p>
      <w:r>
        <w:t>In concreto, dai diversi rapporti medici all'incarto emerge, sostanzialmente, la diagnosi di cardiopatia ischemica post-IMA, di esiti da frattura intra-articolare del radio sinistro, di sindrome lombovertebrale cronica, di esiti da perforazione della cornea dell'occhio sinistro e da frattura del radio destro. Visto che le conclusioni di tutti i referti medici agli atti convergono nel ritenere questa diagnosi, il collegio giudicante non intravede nessun motivo per discostarsene. Per quanto riguarda le affezioni di natura psichica, menzionate per la prima volta nell'atto di replica, esse non sono oggettivate da alcun documento medico agli atti, per cui non possono essere considerate come facenti parte della diagnosi.</w:t>
      </w:r>
    </w:p>
    <w:p>
      <w:r>
        <w:rPr>
          <w:b/>
        </w:rPr>
        <w:t>E. 10.2</w:t>
      </w:r>
    </w:p>
    <w:p>
      <w:r>
        <w:t>Giova ricordare che le affezioni in oggetto debbono, dal profilo giuridico, essere esaminate alla luce dell'art. 29 cpv. 1 lett. b LAI.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dell'invalidità solo a partire dal momento in cui ha subito, senza interruzione notevole, un'incapacità lavorativa media del 40% almeno durante un anno.</w:t>
      </w:r>
    </w:p>
    <w:p>
      <w:r>
        <w:rPr>
          <w:b/>
        </w:rPr>
        <w:t>E. 11</w:t>
      </w:r>
    </w:p>
    <w:p>
      <w:r>
        <w:t>Rispetto al problema della capacità lavorativa, dalla perizia E 213 (doc. 151) si evince che il ricorrente è in grado di svolgere il suo ultimo lavoro per due o tre ore al giorno, e che il grado d'invalidità per qualsiasi altra attività a lui confacente è pari al 55%. Dal canto suo, il dott. Bb._______, medico dell'UAIE, ha determinato, nei suoi rapporti del 22 febbraio e del 13 luglio 2007 (doc. 154 e 160), un'incapacità lavorativa completa come stuccatore dal 16 agosto 1999, e, in attività confacenti, nulla dal 1999, completa dal 20 novembre 2005 (data dell'infarto miocardico) e nulla, come in precedenza, dal 10 marzo 2006 (data della perizia E 213). Egli ha rilevato che, in seguito al grave infarto, il ricorrente ha dovuto essere sottoposto a PTCA e che, benché la funzione cardiaca fosse risultata ridotta subito dopo l'intervento, essa aveva ritrovato il suo andamento normale già dopo un mese. Il medico dell'UAIE ha pure messo in evidenza il fatto che, nel corso del ricovero del dicembre 2005, è stata esclusa la presenza di un'ischemia, aggiungendo che, secondo l'ecocardiogramma del 7 maggio 2007 (doc. 158), la funzione cardiaca è risultata essere nei limiti della norma. Queste conclusioni sono state confermate dal dott. Le._______, nel suo rapporto del 2 settembre 2008 (doc. 171), dopo aver preso conoscenza del certificato del dott. P._______, esibito in sede di replica. Tenuto conto del fatto che i certificati medici prodotti dal ricorrente non solo non contraddicono questa valutazione, ma nemmeno si pronunciano sull'incapacità lavorativa, il collegio giudicante non può che aderire alle conclusioni alle quali sono giunti i dott.ri Bb._______ e Le._______ in merito alla capacità lavorativa del ricorrente.</w:t>
      </w:r>
    </w:p>
    <w:p>
      <w:r>
        <w:rPr>
          <w:b/>
        </w:rPr>
        <w:t>E. 12</w:t>
      </w:r>
    </w:p>
    <w:p>
      <w:r>
        <w:t>Tenuto conto che il ricorrente era già incapace al 100% di esercitare la sua ultima professione di stuccatore, ma capace di svolgere attività confacenti senza limitazione, con un grado d'invalidità del 35%, a decorrere dal 16 agosto 1999, e incapace di lavoro al 100% dal 20 novembre 2005 in qualsiasi attività, egli ha diritto ad una rendita intera d'invalidità dal 1° novembre 2005, nella misura in cui è stato per un anno, e senza notevoli interruzioni, incapace al lavoro per almeno il 40% in media, in conformità con l'art. 29 cpv. 1 let. b LAI, e che la sua perdita di guadagno dal 20 novembre 2005 è superiore al 70%.</w:t>
      </w:r>
    </w:p>
    <w:p>
      <w:r>
        <w:rPr>
          <w:b/>
        </w:rPr>
        <w:t>E. 13.1</w:t>
      </w:r>
    </w:p>
    <w:p>
      <w:r>
        <w:t>Una rendita d'invalidità limitata nel tempo corrisponde, materialmente, ad una revisione ai sensi dell'art. 17 cpv. 1 LPGA. Secondo l'art. 17 cpv. 1 LPGA, se il grado d'invalidità del beneficiario della rendita subisce una notevole modificazione, per il futuro la rendita è aumentata o ridotta proporzionalmente o soppressa, d'ufficio o su richiesta. Se la capacità al guadagno dell'assicurato migliora,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88a cpv. 1 OAI).</w:t>
      </w:r>
    </w:p>
    <w:p>
      <w:r>
        <w:rPr>
          <w:b/>
        </w:rPr>
        <w:t>E. 13.2</w:t>
      </w:r>
    </w:p>
    <w:p>
      <w:r>
        <w:t>Come già ricordato al punto 7.2, l'art. 16 LPGA prevede, per valutare il grado d'invalidità, che il reddito che l'assicurato invalido potrebbe conseguire esercitando l'attività ragionevolmente esigibile da lui dopo la cura medica e l'eventuale esecuzione di provvedimenti d'integrazione, tenuto conto di una situazione equilibrata del mercato del lavoro (reddito da invalido), deve essere confrontato con il reddito che egli avrebbe potuto ottenere se non fosse diventato invalido (reddito da valido). In concreto, l'UAIE ha proceduto a ben due calcoli del grado d'invalidità (doc. 161 e 168). Nel primo caso, l'UAIE ha ritenuto, come reddito ipotetico da valido in Italia per il 2005, un valore di EUR 1'710.80, sulla base dei dati statistici dell'ILO, e, come reddito da invalido, sempre secondo i dati dell'ILO per il 2005, in attività quali bidello o magazziniere, ha considerato un valore medio di EUR 1'301.03, ridotto del 20%, viste le circostanze personali dell'assicurato, ossia EUR 1'040.82. Procedendo al raffronto dei due redditi, l'UAIE ha così ottenuto una perdita di guadagno del 39.16%, corrispondente ad un grado d'invalidità del 39%. Nel secondo caso, l'UAIE ha proceduto basandosi, da un lato, sul salario da valido in Svizzera nel 2000, come ritenuto nel giudizio del TA-BE, ossia Fr. 65'390.- o Fr. 5'449.17 al mese. Indicizzando quest'ultimo valore al 2004, l'UAIE ha ottenuto un salario di Fr. 5'779.67. Come salario da invalido, l'UAIE ha considerato, fondandosi sui dati dell'UFS per il 2004, un valore mensile di Fr. 4'771.52, al quale è stata applicata una riduzione del 20% per tenere conto delle caratteristiche personali dell'assicurato, cioè Fr. 3'817.22. Comparando il reddito da valido con quello da invalido, l'UAIE ha ottenuto una perdita di guadagno del 33.96%, corrispondente ad un grado d'invalidità del 34%.</w:t>
      </w:r>
    </w:p>
    <w:p>
      <w:r>
        <w:rPr>
          <w:b/>
        </w:rPr>
        <w:t>E. 13.3</w:t>
      </w:r>
    </w:p>
    <w:p>
      <w:r>
        <w:t>Ora, secondo la giurisprudenza, il reddito senza invalidità deve essere valutato in maniera concreta, e per questa ragione si deduce in principio dal salario realizzato da ultimo dall'assicurato, prima dell'insorgenza dell'invalidità (DTF 135 V 58 consid. 3.1). È quindi conforme alla giurisprudenza riferirsi all'ultimo salario percepito dal ricorrente in Svizzera, ed eseguire il calcolo del grado d'invalidità sulla base dei dati relativi al mercato del lavoro svizzero, come ha fatto, in un secondo tempo, l'UAIE (doc. 168). Fondandosi su questi dati, la perdita di guadagno subita dal ricorrente risulta essere inferiore al 40%, e ciò a decorrere dal 10 marzo 2006. Ne discende che, in applicazione dell'art. 88a cpv. 1 OAI, la rendita intera d'invalidità del ricorrente deve essere limitata al 30 giugno 2006.</w:t>
      </w:r>
    </w:p>
    <w:p>
      <w:r>
        <w:rPr>
          <w:b/>
        </w:rPr>
        <w:t>E. 14</w:t>
      </w:r>
    </w:p>
    <w:p>
      <w:r>
        <w:t>Di conseguenza, il ricorso deve essere parzialmente accolto e la decisione impugnata riformata, nel senso che al ricorrente è riconosciuto il diritto ad una rendita intera d'invalidità dal 1° novembre 2005 al 30 giugno 2006. L'incarto è rinviato all'UAIE, affinché proceda al calcolo ed al versamento delle prestazioni spettanti al ricorrente.</w:t>
      </w:r>
    </w:p>
    <w:p>
      <w:r>
        <w:rPr>
          <w:b/>
        </w:rPr>
        <w:t>E. 15</w:t>
      </w:r>
    </w:p>
    <w:p>
      <w:r>
        <w:t>Secondo l'art. 63 cpv. 1 PA, le spese processuali sono di regola messe a carico della parte soccombente. In concreto, visto l'esito della procedura, non si prelevano spese processuali e l'anticipo di Fr. 300.-, versato dal ricorrente il 17 ottobre 2008, gli è restituito. In conformità con l'art. 64 cpv. 1 PA, l'autorità di ricorso, se ammette il ricorso in tutto o in parte, può assegnare al ricorrente una indennità per le spese indispensabili e relativamente elevate che ha sopportato (spese ripetibili). Visto l'esito della procedura, si assegna al ricorrente un'indennità per spese ripetibili di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