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C-69/2006 vom 30. März 2007</w:t>
      </w:r>
    </w:p>
    <w:p>
      <w:r>
        <w:t>Bundesverwaltungsgericht, 2007-03-30, FR</w:t>
      </w:r>
    </w:p>
    <w:p>
      <w:r>
        <w:rPr>
          <w:b/>
        </w:rPr>
        <w:t xml:space="preserve">Quelle: </w:t>
      </w:r>
      <w:r>
        <w:t>https://mcp.opencaselaw.ch/entscheid/bvger_C-69_2006</w:t>
      </w:r>
    </w:p>
    <w:p>
      <w:r>
        <w:t>FR: TAF C-69/2006 du 30 mars 2007</w:t>
      </w:r>
    </w:p>
    <w:p>
      <w:r>
        <w:t>IT: TAF C-69/2006 del 30 marzo 2007</w:t>
      </w:r>
    </w:p>
    <w:p>
      <w:pPr>
        <w:pStyle w:val="Heading2"/>
      </w:pPr>
      <w:r>
        <w:t>Regeste</w:t>
      </w:r>
    </w:p>
    <w:p>
      <w:r>
        <w:t>Entrée</w:t>
      </w:r>
    </w:p>
    <w:p>
      <w:pPr>
        <w:pStyle w:val="Heading2"/>
      </w:pPr>
      <w:r>
        <w:t>Erwägungen</w:t>
      </w:r>
    </w:p>
    <w:p>
      <w:r>
        <w:rPr>
          <w:b/>
        </w:rPr>
        <w:t>E. 1</w:t>
      </w:r>
    </w:p>
    <w:p>
      <w:r>
        <w:t>Les décisions en matière d'interdiction d'entrée en Suisse prononcées par l'ODM peuvent être contestées devant le Tribunal administratif fédéral, conformément à l'art. 20 al. 1 de la Loi fédérale du 26 mars 1931 sur le séjour et l'établissement des étrangers (LSEE, RS 142.20), en relation avec l'art 31 et l'art. 33 de la Loi sur le Tribunal administratif fédéral du 17 juin 2005, entrée en vigueur le 1er janvier 2007 (LTAF, RS 173.32). Les recours pendants devant les commissions fédérales de recours ou d'arbitrage ou devant les services des recours des départements au 1er janvier 2007 sont traités par le Tribunal administratif fédéral dans la mesure où il est compétent (art. 53 al. 2 LTAF première phrase) et le nouveau droit de procédure s'applique (art. 53 al. 2 LTAF dernière phrase). A_______, qui est directement touché par la décision entreprise, a qualité pour recourir (cf. art. 20 al. 2. LSEE et art. 48 de la loi fédérale sur la procédure administrative du 20 décembre 1968, [PA, RS 172.021]). Présenté dans la forme et les délais prescrits par la loi, le recours est recevable (art. 50 et art. 52 PA).</w:t>
      </w:r>
    </w:p>
    <w:p>
      <w:r>
        <w:rPr>
          <w:b/>
        </w:rPr>
        <w:t>E. 2</w:t>
      </w:r>
    </w:p>
    <w:p>
      <w:r>
        <w:t>L'autorité fédérale peut interdire l'entrée en Suisse d'étrangers indésirables. Tant que l'interdiction d'entrée est en vigueur, l'étranger ne peut franchir la frontière sans la permission expresse de l'autorité qui l'a prononcée (art. 13 al. 1 LSEE). A l'égard des ressortissants d'Etats membres de l'Union européenne et de leur famille, cette disposition n'est applicable que si l'Accord sur la libre circulation des personnes n'en dispose pas autrement (art. 1 let. a LSEE). En vertu de l'art. 1 par. 1 annexe I ALCP (en relation avec l'art. 3 ALCP), les ressortissants communautaires ont le droit d'entrer en Suisse sur simple présentation d'une carte d'identité ou d'un passeport en cours de validité et aucun visa d'entrée ni obligation équivalente ne peut leur être imposé.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 consid. 3.6.1).</w:t>
      </w:r>
    </w:p>
    <w:p>
      <w:r>
        <w:rPr>
          <w:b/>
        </w:rPr>
        <w:t>E. 3</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w:t>
      </w:r>
    </w:p>
    <w:p>
      <w:r>
        <w:rPr>
          <w:b/>
        </w:rPr>
        <w:t>E. 4</w:t>
      </w:r>
    </w:p>
    <w:p>
      <w:r>
        <w:t>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129 II 215 consid. 7.1 et 7.4 p. 221/222;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130 II 176 consid. 4.3.1).</w:t>
      </w:r>
    </w:p>
    <w:p>
      <w:r>
        <w:rPr>
          <w:b/>
        </w:rPr>
        <w:t>E. 5</w:t>
      </w:r>
    </w:p>
    <w:p>
      <w:r>
        <w:t>En l'espèce, les délits que A_______ a commis sont, sur le principe, suffisamment graves pour justifier une mesure d'éloignement du genre de celle qui le frappe, le cadre dans lequel la peine devait être fixée se situant entre trois mois d'emprisonnement et quinze ans de réclusion (cf. ch. 4.4. de l'arrêt du 21 janvier 2005 de la Cour de cassation de la République et canton de Genève). En réalité, il a été condamné le 26 mars 2004, par la Cour correctionnelle de la République et canton de Genève, à cinq ans de réclusion pour escroqueries par métier et abus de confiance. Il ressort du jugement précité que l'activité délictueuse déployée par le prénommé s'est étendue sur une dizaine d'années, qu'il a agi systématiquement au préjudice d'un grand nombre de victimes et qu'il en a tiré un enrichissement personnel d'environ 9 millions de francs. Dans son jugement, la Cour a également relevé que le recourant n'avait pas hésité à s'en prendre à des personnes de milieu modeste et à tromper la confiance qu'il avait su provoquer chez elles par ses mensonges et son apparence, que sa faute était extrêmement lourde dès lors qu'il disposait de moyens lui permettant de subvenir largement à ses besoins et à ses charges. Elle a retenu enfin que sa collaboration à l'instruction avait été mauvaise, qu'il n'avait manifesté aucune compassion pour ses victimes et avait persisté à rejeter sa faute sur un autre, sans tenir compte du préjudice moral important que ce dernier pouvait en ressentir. Il convient de relever que la présente cause se différencie de manière substantielle de celle jugée le 14 avril 2005 par le Tribunal fédéral (ATF 131 II 352). Dans cet arrêt, la Haute Cour a retenu que les malversations reprochées à l'intéressé n'avaient pas été opérées sur une vaste échelle, mais dans un contexte professionnel limité, s'étaient déroulées dans un laps de temps de quelques mois seulement et n'avaient pas entraîné un dommage considérable au regard du type de délit considéré. Dans le cas présent, outre la quotité de la peine, qui est plus de quatre fois supérieure à celle de l'arrêt précité, les malversations ont été opérées sur une vaste échelle, se sont déroulées sur une période de plus de dix ans et il n'y a été mis fin que par le licenciement du recourant en février 2002. Aussi, au regard de la gravité des faits retenus à la charge du recourant et des circonstances rappelées ci-dessus, il y a lieu de considérer que celui-ci représente une menace réelle et actuelle pour l'ordre public au sens des normes et de la jurisprudence communautaires, les infractions dont il s'est rendu coupable ayant affecté un intérêt fondamental de la société. Son éloignement de Suisse constitue donc une mesure justifiée par la prévention de nouvelles infractions. L'ODM a par conséquent tenu compte de manière appropriée des principes de la réglementation communautaire et de la jurisprudence de la CJCE concernant la gravité, la réalité et l'actualité de la menace que A_______ représente pour la sécurité et l'ordre publics. En conséquence, la décision attaquée satisfait aux conditions habilitant l'autorité à déroger au principe de la libre circulation des personnes.</w:t>
      </w:r>
    </w:p>
    <w:p>
      <w:r>
        <w:rPr>
          <w:b/>
        </w:rPr>
        <w:t>E. 6</w:t>
      </w:r>
    </w:p>
    <w:p>
      <w:r>
        <w:t>L'interdiction d'entrée en Suisse étant confirmée dans son principe, il convient encore d'examiner si la durée de la mesure d'éloignement prise par l'ODM satisfait aux principe de la proportionnalité et de l'égalité de traitement. Lorsqu'elle prononce une telle interdiction, l'autorité administrative doit en effet respecter les principes d'égalité et de proportionnalité et s'interdire tout arbitraire (André Grisel, Traité de droit administratif, Neuchâtel 1984, tome I, p. 348, 358s et 364s; Blaise Knapp, Précis de droit administratif, Bâle, 1991, p. 103s, 113s, 124s). Il faut notamment qu'il existe un rapport raisonnable entre le but recherché par la mesure prise et la restriction à la liberté personnelle qui en découle pour celui qui en fait l'objet (ATF 130 I 65 consid. 3.5.1.; 128 II 292 consid 5.1.; 126 I 219 consid. 2c; Jurisprudence des autorités administratives de la Confédération [JAAC] 64.36 consid. 4b, 63.1 consid. 12 c). S'agissant de l'intérêt privé du recourant à pouvoir se déplacer librement en Suisse, il s'impose de relever que ses attaches avec ce pays se sont limitées au plan professionnel, qu'il n'y a de tout temps travaillé que dans le cadre d'un statut de frontalier et qu'il a toujours conservé ses attaches sociales en France, où il a notamment participé à la vie politique de sa commune. S'agissant de l'intérêt public, le recourant a démontré, par ses actes, qu'il constituait incontestablement un danger pour la collectivité. De plus, compte tenu de son incarcération et du fait qu'il n'a été mis au bénéfice de la libération conditionnelle que depuis relativement peu de temps, il n'a pas pu démontrer s'être amendé. Dans ces circonstances, et nonobstant l'argumentation relative à la proximité de son domicile de la frontière suisse, l'intérêt personnel de A_______ à revenir en Suisse ne saurait être considéré comme prépondérant par rapport à l'intérêt public à son éloignement, si bien que le prononcé d'une interdiction d'entrée d'une durée de dix ans se révèle proportionné au but de sauvegarde de l'ordre et de la sécurité publics visé par cette mesure. S'il devait s'avérer par la suite que l'ordre et la sécurité publics n'exigent plus le maintien de l'interdiction d'entrée, l'ODM pourrait revenir sur sa décision (cf. ATF 114 Ib 1 consid. 4). On imagine cependant mal qu'il puisse entrer en matière sur une telle demande aussi longtemps que le recourant n'aura pas fait la preuve par l'acte, durant un laps de temps significatif, qu'il s'est définitivement amendé. Il convient de relever au surplus que si, pour un motif particulier, la présence en Suisse du recourant se révélait indispensable, il lui serait loisible de solliciter un sauf-conduit lui permettant de se rendre brièvement sur le territoire suisse.</w:t>
      </w:r>
    </w:p>
    <w:p>
      <w:r>
        <w:rPr>
          <w:b/>
        </w:rPr>
        <w:t>E. 7</w:t>
      </w:r>
    </w:p>
    <w:p>
      <w:r>
        <w:t>Il résulte de ce qui précède que le recours doit être rejeté. Compte tenu de l'issue de la cause, il y a lieu de mettre les frais de procédure à la charge du recourant (cf. art. 63 al 1 PA et art. 3 let. a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