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C-6992/2014 vom 8. September 2015</w:t>
      </w:r>
    </w:p>
    <w:p>
      <w:r>
        <w:t>Bundesverwaltungsgericht, 2015-09-08, DE</w:t>
      </w:r>
    </w:p>
    <w:p>
      <w:r>
        <w:rPr>
          <w:b/>
        </w:rPr>
        <w:t xml:space="preserve">Quelle: </w:t>
      </w:r>
      <w:r>
        <w:t>https://mcp.opencaselaw.ch/entscheid/bvger_C-6992_2014</w:t>
      </w:r>
    </w:p>
    <w:p>
      <w:r>
        <w:t>FR: TAF C-6992/2014 du 8 septembre 2015</w:t>
      </w:r>
    </w:p>
    <w:p>
      <w:r>
        <w:t>IT: TAF C-6992/2014 del 8 settembre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kubanischen Staatsangehörigen um Erteilung eines Visums für einen maximal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 Zudem sei angesichts der Rückreiseproblematik kubanischer Staatsangehöriger erfahrungsgemäss eine restriktive Visumspolitik zu verfolgen.</w:t>
      </w:r>
    </w:p>
    <w:p>
      <w:r>
        <w:rPr>
          <w:b/>
        </w:rPr>
        <w:t>E. 5.2</w:t>
      </w:r>
    </w:p>
    <w:p>
      <w:r>
        <w:t>Wie oben erwähnt, unterliegt die Gesuchstellerin als kubanische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und/oder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6.1</w:t>
      </w:r>
    </w:p>
    <w:p>
      <w:r>
        <w:t>Kubas Wirtschaft ist im Jahr 2014 um 1,4% gewachsen (2013: 2,7%, 2012: 3,1%). Die Bemühungen des Staates um eine Reduzierung der Importe wirken sich zwar aus, aber nennenswerte Steigerungen der Exporte sind noch nicht zu erkennen. Der auch 2014 vermeldete Überschuss in der Zahlungsbilanz dürfte vor allem dem Dienstleistungsexport geschuldet sein (Tourismus und Gesundheitswesen). Zur Inflationsrate liegen für 2014 keine offiziellen Zahlen vor, sie dürfte jedoch in Folge höherer Lebensmittelpreise deutlich angestiegen sind. Die Arbeitslosenquote beträgt 3,8%. Kubas Volkswirtschaft soll durch punktuelle Änderungen leistungsfähiger werden: Seit 2010 hat die Regierung Massnahmen beschlossen, mit denen "nichtstaatliche" Formen der Erwerbstätigkeit teils erlaubt, teils gefördert werden sollen. Anfang 2013 traten ein neues Steuergesetz und ein neues Arbeitsgesetz in Kraft. Das lange vorbereitete neue Investitionsgesetz trat Ende Juni 2014 in Kraft und zielt explizit auf ausländische Investitionen ab, um der kubanischen Wirtschaft Schwung zu verleihen. Kubas Wirtschaft ist weiterhin planwirtschaftlich gelenkt. Nach wie vor ist das staatliche monatliche Durchschnittseinkommen, auch unter Berücksichtigung, dass immer noch Grundnahrungsmittel, Strom und Gas subventioniert werden und die Inanspruchnahme des Gesundheits- und des Bildungswesens kostenlos ist, sehr gering (2014: knapp 25 USD). Der Lebensstandard der Kubaner bestimmt sich ferner durch den Zugang zur konvertiblen Währung, sei es durch Überweisungen aus dem Ausland, einer Beschäftigung im Tourismussektor oder einer Tätigkeit in einem Joint Venture (vgl. www.auswaertiges-amt.de Reise &amp; Sicherheit Reise- und Sicherheitshinweise: Länder A - Z Kuba Wirtschaft, Stand Juni 2015, besucht im Juli 2015, sowie Urteil des BVGer C-6305/2011 vom 10. April 2013 E. 7.1 m.H.).</w:t>
      </w:r>
    </w:p>
    <w:p>
      <w:r>
        <w:rPr>
          <w:b/>
        </w:rPr>
        <w:t>E. 6.2</w:t>
      </w:r>
    </w:p>
    <w:p>
      <w:r>
        <w:t>Bei der Betrachtung der allgemeinen Lage sind auch die Erfahrungen mit der Emigration zu berücksichtigen. So kämpft Kuba seit Jahren mit der Abwanderung seiner Bevölkerung. Jedes Jahr verlassen mehrere zehntausend Personen das Land (vgl. z.B. "Der Bund" vom 12. August 2011 "Das Volk auf der einsamen Insel ist müde", S. 3 oder die "Neue Zürcher Zeitung" vom 3. März 2008 "Kultureller Aderlass mit Folgen", S. 21). Zwar begeben sich die meisten Personen, vor allem junge und gut ausgebildete kubanische Staatsangehörige, in die Vereinigten Staaten, wo sich mittlerweile eine bedeutende Diaspora befindet. Die Erfahrung zeigt aber, dass ein bereits bestehendes familiäres Beziehungsnetz in einem anderen Land auch eine Emigration dorthin begünstigt. Wie sich die seit dem 14. Januar 2013 geltenden Reiseerleichterungen für kubanische Staatsangehörige auf die Auswanderungsbewegung auswirken werden, bleibt abzuwarten und kann deshalb zum jetzigen Zeitpunkt nur bedingt in die Beurteilung des allgemeinen Migrationsrisikos mit einbezogen werden.</w:t>
      </w:r>
    </w:p>
    <w:p>
      <w:r>
        <w:rPr>
          <w:b/>
        </w:rPr>
        <w:t>E. 6.3</w:t>
      </w:r>
    </w:p>
    <w:p>
      <w:r>
        <w:t>In Anbetracht der erwähnten, für breite Bevölkerungsschichten nach wie vor vergleichsweise schwierigen wirtschaftlichen Lebensbedingungen in Kuba ist die Beurteilung der Vorinstanz, die das Risiko einer nicht fristgerechten Wiederausreise als relativ hoch ein­schätzte, nicht zu beanstanden. Allerdings wäre es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Namentlich können berufliche, gesell­schaftliche oder familiäre Verpflichtungen die Prognose einer an­standslosen Wiederausreise begünstigen.</w:t>
      </w:r>
    </w:p>
    <w:p>
      <w:r>
        <w:rPr>
          <w:b/>
        </w:rPr>
        <w:t>E. 7.1</w:t>
      </w:r>
    </w:p>
    <w:p>
      <w:r>
        <w:t>Vorab ist festzuhalten, dass sich die Vorinstanz weder in der angefochtenen Verfügung noch in ihren Vernehmlassungen ausführlich mit den persönlichen Verhältnissen der Gesuchstellerin auseinandergesetzt und ohne nähere Begründung festgehalten hat, die nachgereichten Beweismittel vermöchten die effektiven wirtschaftlichen Verhältnisse nicht vertieft zu belegen. Fehl geht in diesem Zusammenhang insbesondere ihr (sinngemässes) Argument, wonach die Eingeladene schon bei Einreichung ihres Visumsgesuches allen Anlass gehabt hätte, ihre Verhältnisse sowie diejenigen ihrer nächsten Familienangehörigen möglichst vollständig offenzulegen und nach Möglichkeit auszuweisen. In diesem Zusammenhang verweist die Rechtsvertreterin zu Recht auf das offizielle Visumsformular sowie die entsprechenden Einladungs- und Fragebögen ("carta de invitación personal" und "cuestionario adicional para visa de visita"), welche keine Rubrik zur allfälligen Erwerbstätigkeit von Familienangehörigen enthalten. Kommt hinzu, dass die Gesuchstellerin gemäss den Angaben der Beschwerdeführerin offenbar seinerzeit auch keine Möglichkeit erhalten hat, ihr Gesuch bei der Schweizervertretung in Havanna mündlich zu ergänzen (vgl. Schreiben B._______ an BFM vom 1. Oktober 2014). Dass die Abklärungen der Schweizervertretung in Havanna zur Situation der Eingeladenen offenbar sehr oberflächlich und rudimentär ausgefallen sind, ergibt sich nicht zuletzt aus dem Umstand, dass die Gesuchstellerin trotz anders lautender Eingaben ursprünglich als "junge und ledige Person" bezeichnet wurde (vgl. Begleitschreiben zur Einsprache gegen den ablehnenden Visaentscheid vom 26. September 2014). Vor diesem Hintergrund erweist sich der von der Vorinstanz in der Vernehmlassung implizit erhobene Vorwurf der Verletzung der Mitwirkungspflicht (vgl. Art. 13 VwVG) als unhaltbar.</w:t>
      </w:r>
    </w:p>
    <w:p>
      <w:r>
        <w:rPr>
          <w:b/>
        </w:rPr>
        <w:t>E. 7.2</w:t>
      </w:r>
    </w:p>
    <w:p>
      <w:r>
        <w:t>Bei der Gesuchstellerin handelt es sich um eine heute 46-jährige, seit 1987 verheiratete Hausfrau und Mutter von zwei mittlerweile erwachsenen Kindern, welche in Havanna, der Hauptstadt Kubas, wohnt. Dort lebt sie zusammen mit ihrem Ehemann und ihrer Tochter im eigenen Haus. Diese Gegebenheiten sprechen für eine intakte soziale Struktur und einen engen familiären Bezug zum Heimatland. Insbesondere der Umstand, dass die Gesuchstellerin für die Dauer des beabsichtigten Aufenthaltes in der Schweiz ihre nächsten Angehörigen in Kuba zurücklassen würde, lässt auf persönliche Verpflichtungen und daraus auf eine gewisse Verwurzelung schliessen, was die Gefahr einer Emigration im Vergleich zu jüngeren und ungebundenen Landsleuten relativiert (vgl. auch Urteil des BVGer C-4222/2014 und C-4333/2014 vom 3. Dezember 2014 E. 6.1 m.H.).</w:t>
      </w:r>
    </w:p>
    <w:p>
      <w:r>
        <w:rPr>
          <w:b/>
        </w:rPr>
        <w:t>E. 7.3</w:t>
      </w:r>
    </w:p>
    <w:p>
      <w:r>
        <w:t>Soweit die Vorinstanz auf die schwierigen wirtschaftlichen Verhältnisse und in diesem Zusammenhang auf den starken Zuwanderungsdruck verweist, gilt es festzuhalten, dass die Eingeladene schon aufgrund ihres Alters nicht zu jener Personengruppe gehört, von der das grösste Emigrationsrisiko ausgeht. Zudem geht sie als Hausfrau ohnehin keiner Erwerbstätigkeit nach, sondern besorgt in dieser Funktion die ganze oder zumindest einen Grossteil der Hausarbeit für die übrigen, mit ihr zusammenlebenden berufstätigen Familienmitglieder. Als Grossmutter übernimmt sie zusätzlich wichtige Betreuungsaufgaben. Hingegen geht ihr Ehemann, welcher gemäss den eingereichten Unterlagen seit 1983 in einem Touristikunternehmen angestellt ist und dort eine leitende Funktion bekleidet, seit vielen Jahren einer regelmässigen Erwerbstätigkeit nach. Sein Einkommen soll sich laut Angaben der Beschwerdeführerin auf mindestens 800 kubanische Pesos (ca. 32 USD) belaufen. Zum familiären Haushaltsbudget tragen nebst der erwerbstätigen Tochter offenbar auch noch der erwachsene Sohn - seit 2009 in einem Unternehmen als Chauffeur beschäftigt - sowie die Schwiegertochter als Detailhandelsverkäuferin bei (vgl. Beschäftigungs- bzw. Arbeitsbestätigungen vom 10. November 2014). Aufgrund der Aktenlage ist demnach und entgegen der Ansicht der Vorinstanz davon auszugehen, dass die Gesuchstellerin und ihre Familienangehörigen über eine relativ gesicherte wirtschaftliche Existenz in ihrem Heimatland verfügen, die geeignet ist, das Risiko einer nicht fristgerechten Wiederausreise nach einem Besuchsaufenthalt in der Schweiz entscheidend herabzusetzen.</w:t>
      </w:r>
    </w:p>
    <w:p>
      <w:r>
        <w:rPr>
          <w:b/>
        </w:rPr>
        <w:t>E. 7.4</w:t>
      </w:r>
    </w:p>
    <w:p>
      <w:r>
        <w:t>Insgesamt betrachtet verfügt die Gesuchstellerin somit durchaus über eine massgebliche familiäre wie auch wirtschaftliche Verankerung im Heimatland. Zudem gehört sie - wie oben erwähnt - bereits aufgrund ihres Alters nicht (mehr) zur Kategorie der typischen Emigranten aus Kuba. In diesem Zusammenhang gilt es auch die neuen Reiseerleichterungen (vgl. E. 6.2) insoweit mit in die Beurteilung einzubeziehen, als sie zur Folge haben, dass Auslandreisen leichter angetreten werden können. Angesichts der stabilen persönlichen Verhältnisse und der familiären Verpflichtungen in Kuba dürfte das ohnehin als klein einzuschätzende Interesse der Gesuchstellerin an einem Verbleib im Ausland noch geringer ausfallen, da sie damit rechnen kann, jederzeit wieder reisen zu können (vgl. Urteil des BVGer C-6305/2011 E. 7.2.4).</w:t>
      </w:r>
    </w:p>
    <w:p>
      <w:r>
        <w:rPr>
          <w:b/>
        </w:rPr>
        <w:t>E. 7.5</w:t>
      </w:r>
    </w:p>
    <w:p>
      <w:r>
        <w:t>Nach dem Gesagten dürfte die Gesuchstellerin somit kaum Anlass zum (definitiven) Verlassen ihres Landes haben. Im Weitern darf davon ausgegangen werden, dass die Beschwerdeführerin, welche von allem Anfang an ihre Mitwirkungspflicht bei der Abklärung des rechtserheblichen Sachverhalts wahrgenommen und die von ihr verlangten Auskünfte erteilt bzw. die notwendigen Belege eingereicht hat, als Gastgeberin zweifellos besorgt sein wird, dass ihre Patentante die Schweiz termingerecht verlassen wird. Nicht zuletzt gilt es doch auch dem Umstand Rechnung zu tragen, dass die Beschwerdeführerin in der Vergangenheit bereits Personen aus ihrem familiären Umfeld (Schwester und Bruder) zu sich in die Schweiz einladen konnte, welche nach ihrem Besuchsaufenthalt fristgerecht und anstandslos in ihr Heimatland zurückgekehrt sind.</w:t>
      </w:r>
    </w:p>
    <w:p>
      <w:r>
        <w:rPr>
          <w:b/>
        </w:rPr>
        <w:t>E. 8</w:t>
      </w:r>
    </w:p>
    <w:p>
      <w:r>
        <w:t>Aus vorstehenden Erwägungen ergibt sich, dass in casu keine Hinderungsgründe im Sinne von Art. 5 SGK bzw. Art. 5 AuG erkennbar sind. Indem die Vorinstanz den entscheidsrelevanten Sachverhalt wesentlich anders gewichtete, hat sie Bundesrecht verletzt (Art. 49 Bst. a VwVG). Die Be­schwerde ist daher gutzuheissen, die angefochtene Verfügung auf­zuheben und die Sache zur neuerlichen Beurteilung an die Vorinstanz zurückzuweisen. Dabei ist vom SEM abzuklären, ob die in Art. 2 Abs. 1 VEV genannten Einreisevoraussetzungen gemäss Schengener Grenz­kodex erfüllt sind oder allenfalls gemäss Art. 2 Abs. 4 VEV aus huma­nitären Gründen ein Visum mit räumlich beschränkter Gültigkeit zu er­teilen ist.</w:t>
      </w:r>
    </w:p>
    <w:p>
      <w:r>
        <w:rPr>
          <w:b/>
        </w:rPr>
        <w:t>E. 9.1</w:t>
      </w:r>
    </w:p>
    <w:p>
      <w:r>
        <w:t>Bei diesem Ausgang des Verfahrens sind keine Kosten aufzuerlegen (Art. 63 Abs. 1 und 2 VwVG) und der geleistete Kostenvorschuss ist zurückzuerstatten.</w:t>
      </w:r>
    </w:p>
    <w:p>
      <w:r>
        <w:rPr>
          <w:b/>
        </w:rPr>
        <w:t>E. 9.2</w:t>
      </w:r>
    </w:p>
    <w:p>
      <w:r>
        <w:t>Die Beschwerdeführerin hat gemäss Art. 64 Abs. 1 VwVG Anrecht auf eine Parteientschädigung für die ihr erwachsenen notwendigen und verhältnismässig hohen Kosten (vgl. auch Art. 7 ff. des Reglements vom 21. Februar 2008 über die Kosten und Entschädigungen vor dem Bundesverwaltungsgericht [VGKE, SR 173.320.2]). Diese Entschädigung geht zu Lasten der Vorinstanz (vgl. Art. 64 Abs. 2 VwVG). Es wurde keine Kostennote eingereicht, so dass das Gericht die Parteientschädigung aufgrund der Akten (vgl. Art. 14 VGKE i.V.m. Art. 10 Abs. 2 VGKE)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