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C-6990/2009 vom 26. Juli 2011</w:t>
      </w:r>
    </w:p>
    <w:p>
      <w:r>
        <w:t>Bundesverwaltungsgericht, 2011-07-26, IT</w:t>
      </w:r>
    </w:p>
    <w:p>
      <w:r>
        <w:rPr>
          <w:b/>
        </w:rPr>
        <w:t xml:space="preserve">Quelle: </w:t>
      </w:r>
      <w:r>
        <w:t>https://mcp.opencaselaw.ch/entscheid/bvger_C-6990_2009</w:t>
      </w:r>
    </w:p>
    <w:p>
      <w:r>
        <w:t>FR: TAF C-6990/2009 du 26 juillet 2011</w:t>
      </w:r>
    </w:p>
    <w:p>
      <w:r>
        <w:t>IT: TAF C-6990/2009 del 26 luglio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cpv. 1 ALC).</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3.1</w:t>
      </w:r>
    </w:p>
    <w:p>
      <w:r>
        <w:t>Il divieto d'entrata in Svizzera è disciplinato all'art. 67 della legge federale sugli stranieri del 16 dicembre 2005 (LStr, RS 142.20).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3.2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3.3</w:t>
      </w:r>
    </w:p>
    <w:p>
      <w:r>
        <w:t>Qualora il nuovo diritto deve essere applicato ad una fattispecie che, come nella presente causa, è iniziata prima della sua entrata in vigore ma esplica a tutt'oggi i suoi effetti, si è in presenza di un'applicazione della legge con effetto retroattivo in senso improprio, la quale, riservato il principio della buona fede, è in linea generale ammissibile (cfr. Ulrich Häfelin / Georg Müller / Felix Uhlmann, Allgemeines Verwaltungsrecht, 5a ed., Zurigo/Basilea/San Gallo 2006, cifra 337 segg. e anche sentenza del TAF C-2482/2009 del 28 gennaio 2010, consid. 6.2, pag. 10 e DTAF 2009/3 consid. 3.2, pag. 29 seg.). In concreto ne discende che, alla presente causa, il nuovo diritto è applicabile, essendo il divieto d'entrata emanato nei confronti del ricorrente tuttora effettivo. 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3.4</w:t>
      </w:r>
    </w:p>
    <w:p>
      <w:r>
        <w:t>Concernente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 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4</w:t>
      </w:r>
    </w:p>
    <w:p>
      <w:r>
        <w:t>In concreto il ricorrente è di nazionalità tedesca, di conseguenza nella valutazione della presente causa è necessario tenere conto delle disposizioni dell'ALC. La LStr è dunque applicabile alla presente fattispecie nella misura in cui l'ALC non contiene disposizioni derogatorie.</w:t>
      </w:r>
    </w:p>
    <w:p>
      <w:r>
        <w:rPr>
          <w:b/>
        </w:rPr>
        <w:t>E. 4.1</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Come l'insieme delle prerogative conferite dall'Accordo, questo diritto può essere limitato soltanto da misure giustificate da motivi di ordine pubblico, pubblica sicurezza e pubblica sanità, ai sensi dell'art. 5 § 1 Allegato I ALC. Queste nozioni devono essere definite ed interpretate alla luce della direttiva 64/221/CEE e della giurisprudenza della Corte di giustizia delle Comunità europee (CGCE) anteriore alla firma dell'ALC (art. 5 § 2 allegato I ALC in relazione con l'art. 16 § 2 ALC; DTF 136 II 5 consid. 4.1. pag. 19 seg., DTF 131 II 352 consid. 3.1. pag. 357, DTF 130 II 1 consid. 3.6.1. pag 9 segg.).</w:t>
      </w:r>
    </w:p>
    <w:p>
      <w:r>
        <w:rPr>
          <w:b/>
        </w:rPr>
        <w:t>E. 4.2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pag. 20, DTF 131 II 352 consid. 3.2 pag. 357 seg., DTF 130 II 176 consid. 3.4.1. pag. 182 segg.; cfr. anche la sentenza del Tribunale federale 2C_664/2009 del 25 febbraio 2010 consid. 4.1 nonché le sentenze della CGCE ivi citate).</w:t>
      </w:r>
    </w:p>
    <w:p>
      <w:r>
        <w:rPr>
          <w:b/>
        </w:rPr>
        <w:t>E. 4.3</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131 II 352 consid. 3.2 pag. 357 seg., DTF 130 II 176 consid. 3.4.1 pag. 182 segg., cfr. anche la sentenza del Tribunale federale 2C_664/2009 precitata consid. 4.1 e le sentenze CGCE ivi citate).</w:t>
      </w:r>
    </w:p>
    <w:p>
      <w:r>
        <w:rPr>
          <w:b/>
        </w:rPr>
        <w:t>E. 4.4</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pag. 20, DTF 130 II 493 consid. 3.3 pag. 499 seg. e riferimenti ivi citati).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pag. 358; DTF 130 II 176 consid. 3.4.2 pag. 184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 pag. 99 segg.).</w:t>
      </w:r>
    </w:p>
    <w:p>
      <w:r>
        <w:rPr>
          <w:b/>
        </w:rPr>
        <w:t>E. 5</w:t>
      </w:r>
    </w:p>
    <w:p>
      <w:r>
        <w:t>Dagli atti di causa emerge che il ricorrente ha risieduto in Svizzera sin dalla nascita, ossia dal 1969. Durante tale soggiorno egli ha subito 8 condanne nel periodo tra il 1988 al 2007. In particolare egli è stato condannato per: - furto e ripetuto consumo di un quantitativo imprecisato di haschisch tra il 1987 e il 1988 (cfr. decreto di accusa del 9 settembre 1988); - vendita a terzi, previo acquisto, di poco meno di una trentina di grammi di cocaina e consumo personale di piccole quantità di cocaina e circa 2 grammi al mese di haschisch tra il maggio 1988 e il giugno 1989 nonché per ripetuta violazione di domicilio dal 20 maggio 1989 al 1° giugno 1989 (cfr. sentenza del 7 agosto 1989); - acquisto e vendita in correità con terzi di 3 grammi di eroina, vendita di 7/8 buste dosi di eroina e circa 6 grammi di haschisch nonché acquisto ad uso personale di 5 o 6 buste dosi di eroina, una busta dose di cocaina e circa 15/18 grammi di haschisch nel periodo tra il settembre 1989 al 12 marzo 1990 (cfr. decreto di accusa del 28 marzo 1990); - vendita a diversi tossicomani di 9 grammi di eroina e cessione gratuita di alcune dosi di eroina e di haschisch a terze persone e ripetuto consumo di sostanze stupefacenti dal 1990 al gennaio 1991 (cfr. sentenza del 14 marzo 1991); - consumo di sostanze stupefacenti, senza essere autorizzato, tra il settembre 1992 e il maggio 1993 (cfr. decreto di accusa del 19 novembre 1993); - partecipazione all'importazione e ai preparativi ad un traffico di 460 grammi di eroina, in gran parte destinati alla vendita, acquisto e possesso di almeno 70 grammi di eroina, in gran parte destinati alla vendita, vendita effettiva di circa 20 grammi, ripetuto consumo di eroina e favoreggiamento del soggiorno illegale di una persona nonché uso di un mezzo pubblico in quattro occasioni senza essere munito del biglietto valido richiesto per un valore di fr. 372.- tra il 28 maggio 1993 e la metà di luglio 1994 (cfr. sentenza del 14 marzo 1995); - vendita, previo acquisto, a vari tossicomani di un quantitativo di 600 grammi di cocaina e imprecisato consumo di cocaina e eroina nel periodo fra aprile 1998 e maggio 1999 (cfr. sentenza del 3 ottobre 2000 e del 15 marzo 2001); - vendita, offerta e trasmissione a terzi di un quantitativo pari a 1000 grammi di eroina, possesso di circa 110 grammi di eroina destinati alla vendita e consumo di almeno 200 grammi di eroina e un imprecisato quantitativo di marijuana nonché possesso di circa 120 grammi di canapa tra il febbraio 2004 e l'8 maggio 2007 (cfr. sentenza del 19 novembre 2007). In sostanza, una volta raggiunta la maggiore età, il ricorrente ha tenuto un comportamento delittuoso, interessando le autorità di polizia e giudiziarie durante un arco temporale di circa 20 anni. Egli si è reso colpevole a più ripre­se di molteplici reati, soprattutto nell'ambito del traffico degli stupefacenti. Molto gravi sono in particolare le ultime tre condanne, subite nel 1995, 2000 e nel 2007, con le quali è stato condannato a pene detentive non inferiori ai tre anni, per un totale di oltre 12 anni e mezzo di detenzione e dalle quali emerge che l'interessato ha messo in circolazione in totale circa 1, 640 kilogrammi di eroina e 570 grammi di cocaina.</w:t>
      </w:r>
    </w:p>
    <w:p>
      <w:r>
        <w:rPr>
          <w:b/>
        </w:rPr>
        <w:t>E. 6.1</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pag. 222, DTF 125 II 521 consid. 4a/aa pag. 526 seg.).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 b, ch. 1).</w:t>
      </w:r>
    </w:p>
    <w:p>
      <w:r>
        <w:rPr>
          <w:b/>
        </w:rPr>
        <w:t>E. 6.2</w:t>
      </w:r>
    </w:p>
    <w:p>
      <w:r>
        <w:t>Visto quanto precede, vi è ragione di considerare oggettivamente gravi le infrazioni commesse dal ricorrente, tali da minacciare un interesse fondamentale della società in conformità alla giurisprudenza della CGCE.</w:t>
      </w:r>
    </w:p>
    <w:p>
      <w:r>
        <w:rPr>
          <w:b/>
        </w:rPr>
        <w:t>E. 7</w:t>
      </w:r>
    </w:p>
    <w:p>
      <w:r>
        <w:t>Occorre esaminare a questo stadio della procedura se il comportamento tenuto dall'interessato costituisca una minaccia a tutt'oggi attuale. Nel suo atto ricorsuale l'interessato ha dichiarato di aver seguito un percorso di totale disintossicazione e di reinserimento lavorativo, asserendo che sua madre vive tuttora in Ticino e che per la stessa, l'impossibilità di incontrare regolarmente il ricorrente, comporta una situazione psicologicamente molto difficile.</w:t>
      </w:r>
    </w:p>
    <w:p>
      <w:r>
        <w:rPr>
          <w:b/>
        </w:rPr>
        <w:t>E. 7.1</w:t>
      </w:r>
    </w:p>
    <w:p>
      <w:r>
        <w:t>Gli argomenti sollevati dal ricorrente a sostegno del proprio gravame non permettono di concludere che il rischio di recidiva sia diminuito in modo determinante. I diversi reati perpetrati dall'interessato portano il Tribunale a considerare che non sia in grado o non abbia la volontà di attenersi all'ordine vigente. Nonostante le diverse condanne privative della libertà subite e le 6 decisioni di ammonimento emesse dalle autorità amministrative nei suoi confronti egli ha mantenuto un atteggiamento pericoloso per la collettività. Va inoltre ritenuto che già nel 2001 egli era stato reso attento della possibile emissione di un'espulsione amministrativa o di una decisione di rimpatrio nei suoi confronti. A tale proposito egli aveva affermato di essere fermamente intenzionato a cominciare una nuova vita ed era pienamente cosciente che non gli sarebbe stata concessa un'ulteriore possibilità. La gravità dei reati commessi, in situazione di recidiva non può assolutamente essere minimizzata. D'altronde, la sua attività delittuosa si è protratta per un lungo periodo ed è stata interrotta unicamente a seguito delle incarcerazioni. Come rilevato dalla Corte delle Assise criminali nella sentenza del 19 novembre 2007 i reati in discussione "...sono stati compiuti a soli 2 anni di distanza dall'espiazione dell'ultima pesante condanna a 3 anni di reclusione per il medesimo reato ...". Ora, egli ha subito l'ultima condanna nel novembre 2007 e dalla sua liberazione, avvenuta il 5 gennaio 2010, è trascorso ad oggi all'incirca un anno e 7 mesi. Visto l'insieme delle circostanze e il passato delittuoso dell'interessato protrattosi per diversi anni, tale lasso di tempo in libertà non è sufficiente per poter ritenere estinto o quasi nullo il rischio di recidiva. L'allontanamento dell'interessato dalla Svizzera s'impone perciò tuttora in ragione di motivi di sicurezza e d'ordine pubblici.</w:t>
      </w:r>
    </w:p>
    <w:p>
      <w:r>
        <w:rPr>
          <w:b/>
        </w:rPr>
        <w:t>E. 7.2</w:t>
      </w:r>
    </w:p>
    <w:p>
      <w:r>
        <w:t>Circa la relazione con sua madre residente in Ticino va esaminata la possibile applicazione dell'art. 8 CEDU.</w:t>
      </w:r>
    </w:p>
    <w:p>
      <w:r>
        <w:rPr>
          <w:b/>
        </w:rPr>
        <w:t>E. 7.2.1</w:t>
      </w:r>
    </w:p>
    <w:p>
      <w:r>
        <w:t>L'art. 8 CEDU tutela la vita privata e familiare delle persone. Affinché uno straniero possa prevalersi di tale norma, egli deve intrattenere una relazione stretta, effettiva ed intatta con una persona della sua famiglia a beneficio di un diritto di presenza duraturo in Svizzera. Tale diritto non è tuttavia assoluto, ai sensi dell'art. 8 cpv. 2 CEDU un'ingerenza delle autorità è possibile (cfr. DTF 135 I 143 consid. 1.3.1 e 2. pag. 145 segg.). Protetti dalle suddetta disposizione sono in particolare i rapporti tra i coniugi, nonché quelli tra genitori e figli minorenni che vivono in comunione. Eccezionalmente sono presi in considerazione i rapporti tra genitori e figli maggiorenni se vi è un particolare rapporto di dipendenza fra loro (DTF 129 II 11 consid. 2, pag. 14). In concreto sebbene l'interessato intrattenga un forte legame affettivo con la madre, residente in Ticino, nonostante lo stato di salute di quest'ultima, attestato dal certificato medico del 21 ottobre 2009, non è possibile ritenere l'esistenza di un rapporto di dipendenza effettiva e concreta fra loro. Egli non può pertanto fondare alcuno diritto derivante dall'art. 8 CEDU. Inoltre, per quanto un viaggio possa essere oneroso e faticoso, essa non è impedita dal rendergli visita o addirittura di stabilirsi con lui in Germania.</w:t>
      </w:r>
    </w:p>
    <w:p>
      <w:r>
        <w:rPr>
          <w:b/>
        </w:rPr>
        <w:t>E. 7.2.2</w:t>
      </w:r>
    </w:p>
    <w:p>
      <w:r>
        <w:t>Ad ogni modo, anche qualora l'interessato avesse potuto prevalersi dell'art. 8 CEDU, la protezione del diritto al rispetto della vita privata e familiare, confe­rita della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pag. 22 seg. e la giurisprudenza ivi citata concernente un permesso di soggiorno in Svizzera).Visti i reati imputati al ricorrente, anche in presenza di un diritto alla vita privata e famigliare ai sensi dell'art. 8 cpv.1 CEDU, una misura limitante tale diritto sarebbe comunque giustificata. Da quanto precede la decisione impugnata non viola l'art. 8 CEDU e il ricorrente non può fondare alcun diritto sulla base di tale disposizione.</w:t>
      </w:r>
    </w:p>
    <w:p>
      <w:r>
        <w:rPr>
          <w:b/>
        </w:rPr>
        <w:t>E. 7.3</w:t>
      </w:r>
    </w:p>
    <w:p>
      <w:r>
        <w:t>Circa alla richiesta di limitare il divieto d'entrata, si osserva inoltre che, malgrado non sia stato fissato alcun limite temporale, il divieto d'entrata non esplica i suoi effetti per una durata il­limitata. Questo concetto significa che al momento dell'emissione della decisione le circostanze non permettevano di determinarne la durata precisa. In concreto vista la reiteratezza nel commettere reati pericolosi per la società, allo stato attuale dei fatti, il Tribunale non è in grado di stabilire un termine preciso per determinare fino a quanto sussista una minaccia concreta e attuale. Di principio, trascorso un certo periodo di tempo, la persona interessata potrà sollecitare il riesame della decisione di divieto d'entrata, a condizione che tale richiesta non costituisca una manovra dilatoria. Spetterà poi all'autorità adita competente decidere il seguito da dare a questa do­manda sulla base dei nuovi elementi del caso. Quest'ultima potrà entrare nel merito della richiesta a condizione che il ricorrente abbia lasciato per un lasso di tempo significativo la Svizzera ed abbia con il suo comportamento fatto prova di una durevole e significativa reintegrazione sociale, la quale prende inizio con il rispetto delle decisioni delle autorità (cfr. DTF 130 II 493 consid. 5 pag. 504; sentenza del Tribunale federale 2C_36/2009 del 20 ottobre 2009, consid. 3.2).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8</w:t>
      </w:r>
    </w:p>
    <w:p>
      <w:r>
        <w:t>In queste circostanze, in ragione della natura delle infrazioni com­messe dal ricorrente, della durata delle pene di detenzione, della reiterazione e della gravità delle stesse, il Tribunale considera che l'interessato rappresenti ancora una minaccia reale e attuale per l'ordine e la sicurezza pubblici ai sensi delle norme e del­la giurispru­denza comunitaria. Le condizioni per derogare al principio della libera circolazione delle persone sono dunque manifestamente adempiute. Tenuto conto di quanto sopra esposto, la ponderazione degli interessi in presenza conduce quindi il Tribunale a considerare che l'interesse pubblico all'allontanamento del ricorrente dalla Svizzera prevale su quello privato di quest'ultimo a poter recarvisi senza particolari control­li. Il Tribunale ritiene che un divieto d'entrata di durata indeterminata appare proporzionato allo scopo di protezione dell'ordine e della sicu­rezza pubblici ricercati con questa misura e che allo stato attuale dei fatti, la situa­zione personale dell'interessato non può essere ritenuta stabilizzata in modo tale da consentire una riduzione della durata del provvedimento emanato nei suoi confronti.</w:t>
      </w:r>
    </w:p>
    <w:p>
      <w:r>
        <w:rPr>
          <w:b/>
        </w:rPr>
        <w:t>E. 9</w:t>
      </w:r>
    </w:p>
    <w:p>
      <w:r>
        <w:t>Ne discende che l'UFM con decisione del 5 ottobre 2009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Resta ora da valutare la questione dell'assistenza giudiziaria inoltrata dal ricorrente mediante l'atto ricorsuale del 9 novembre 2009. 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concreto con plico raccomandato del 23 dicembre 2009, il ricorrente ha inviato al Tribunale la documentazione relativa alla sua situazione finanziaria da cui risulta comprovato il suo stato d'indigenza. Nella misura in cui il suo gravame non appariva di primo acchito sprovvisto di esito favorevole, sono dunque adempiute le condizioni per concedere 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