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C-6981/2009 vom 22. September 2010</w:t>
      </w:r>
    </w:p>
    <w:p>
      <w:r>
        <w:t>Bundesverwaltungsgericht, 2010-09-22, FR</w:t>
      </w:r>
    </w:p>
    <w:p>
      <w:r>
        <w:rPr>
          <w:b/>
        </w:rPr>
        <w:t xml:space="preserve">Quelle: </w:t>
      </w:r>
      <w:r>
        <w:t>https://mcp.opencaselaw.ch/entscheid/bvger_C-6981_2009</w:t>
      </w:r>
    </w:p>
    <w:p>
      <w:r>
        <w:t>FR: TAF C-6981/2009 du 22 septembre 2010</w:t>
      </w:r>
    </w:p>
    <w:p>
      <w:r>
        <w:t>IT: TAF C-6981/2009 del 22 settembre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décision de l'OCP du 10 septembre 2008 d'octroyer une autorisation de séjour à A._______, nonobstant la révocation de son autorisation d'établissement, soit postérieurement à l'entrée en vigueur de la LEtr. C'est ainsi le nouveau droit qui est applicable à la présente cause.</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août 2010). Il s'ensuit que ni le TAF, ni l'ODM ne sont liés par la décision de l'OCP du 10 septembre 2008 d'accorder une autorisation de séjour à A._______ et peuvent parfaitement s'écarter de l'appréciation faite par cette autorité.</w:t>
      </w:r>
    </w:p>
    <w:p>
      <w:r>
        <w:rPr>
          <w:b/>
        </w:rPr>
        <w:t>E. 4</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2C_65/2010 du 19 mai 2010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2C_216/2009 du 20 août 2009 consid. 2.1).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w:t>
      </w:r>
    </w:p>
    <w:p>
      <w:r>
        <w:rPr>
          <w:b/>
        </w:rPr>
        <w:t>E. 5.1</w:t>
      </w:r>
    </w:p>
    <w:p>
      <w:r>
        <w:t>En l'espèce, l'examen du dossier laisse apparaître que le recourant a vécu en communauté conjugale avec son épouse suissesse durant une première période du 28 juin 2000 au 12 décembre 2002 (soit près de deux ans et six mois) et que, après une séparation de deux ans, le couple s'est reformé au début de l'année 2005 pour une période non précisément définie, mais s'étendant au moins jusqu'au 28 juillet 2005, date à laquelle l'OCP a délivré une autorisation d'établissement à l'intéressé. Dans la mesure où le divorce des intéressés n'a été prononcé que le 23 juin 2007, le Tribunal est amené à considérer, selon une vraisemblance confinant à la certitude, que l'union conjugale du recourant (qui implique en principe la vie commune des époux sous réserve des exceptions de l'art. 49 LEtr) a duré au total plus de trois ans au sens de l'art. 50 al. 1 let. a LEtr. Il convient ainsi d'examiner si l'intégration du recourant peut être considérée comme réussie au sens de l'art. 50 al. 1 let. a in fine LEtr.</w:t>
      </w:r>
    </w:p>
    <w:p>
      <w:r>
        <w:rPr>
          <w:b/>
        </w:rPr>
        <w:t>E. 5.2</w:t>
      </w:r>
    </w:p>
    <w:p>
      <w:r>
        <w:t>Dans ses directives concernant le règlement des conditions de séjour après la dissolution de la communauté familiale (cf. Directives et commentaires de l'ODM précitées, ch. 6.15), l'ODM considère que l'étranger s'est bien intégré au sens de l'art. 50 al. 1 let. a LEtr et de l'art. 77 al. 1 let. OASA, notamment lorsqu'il: a) respecte l'ordre juridique et les valeurs de la Constitution fédérale; b) manifeste sa volonté de participer à la vie économique et d'apprendre la langue nationale parlée au lieu de domicile. En l'espèce, il apparaît que le recourant peut certes se prévaloir d'une certaine intégration professionnelle en Suisse, qu'il a assuré son indépendance financière dans ce pays et qu'il y a eu un comportement correct. Il n'a toutefois apporté aucun élément susceptible de démontrer qu'il se serait créé des attaches sociales particulièrement profondes et durables avec la Suisse, notamment au travers de relations d'amitié, de travail, de voisinage. De plus, les allégations formulées dans le recours, selon lesquelles il "s'exprimait parfaitement en français", doivent être fortement relativisées, au vu des erreurs d'orthographe (telles que "3 mua" [recte: mois] ou "vizite famillea") relevées dans les pièces du dossier cantonal que le recourant a été amené à compléter (soit en particulier sa demande de visa de retour pour se rendre en Turquie du 12 mai 2010). En conséquence, le Tribunal rejoint l'appréciation de l'ODM au sujet de l'intégration de A._______.</w:t>
      </w:r>
    </w:p>
    <w:p>
      <w:r>
        <w:rPr>
          <w:b/>
        </w:rPr>
        <w:t>E. 5.3</w:t>
      </w:r>
    </w:p>
    <w:p>
      <w:r>
        <w:t>Cela étant, il convient d'examiner encore, sur un autre plan, si la poursuite du séjour en Suisse du recourant s'impose pour des raisons personnelles majeures au sens de l'art. 50 al. 1 let. b LEtr. Comme rappelé supra, l'art. 50 al. 1 let. b et al. 2 LEtr a pour vocation d'éviter les cas de rigueur ou d'extrême gravité qui peuvent être provoqués notamment par la violence conjugale, le décès du conjoint ou des difficultés de réintégration dans le pays d'origine. Il convient de relever d'abord que le recourant ne se trouve pas dans une situation de violence conjugale, ni de décès du conjoint et que sa situation est donc à examiner uniquement en considération d'éventuelles difficultés de réintégration dans son pays d'origine.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2C_708/2009 du 12 avril 2010 consid. 6.1 avec renvoi à THOMAS GEISER/MARC BUSSLINGER, Ausländische Personen als Ehepartner und registrierte Partnerinnen, in Ausländerrecht, 2e éd., 2009, no 14.54).</w:t>
      </w:r>
    </w:p>
    <w:p>
      <w:r>
        <w:rPr>
          <w:b/>
        </w:rPr>
        <w:t>E. 5.4</w:t>
      </w:r>
    </w:p>
    <w:p>
      <w:r>
        <w:t>En l'espèce, bien que A._______ séjourne en Suisse depuis le dépôt d'une demande d'asile en septembre 1997, il n'apparaît pas qu'il se serait créé avec ce pays des attaches particulièrement étroites au point de le rendre étranger à son pays d'origine. Il convient de relever d'abord que le recourant a passé en Turquie son enfance, son adolescence et les premières années de sa vie d'adulte, années qui apparaissent comme essentielles pour la formation de la personnalité et, partant, pour l'intégration sociale et culturelle. Il s'impose de souligner surtout que le recourant a ses attaches familiales essentielles en Turquie, où vivent sa femme et ses deux enfants, l'étroitesse de ses liens avec son pays étant confirmée par les longs séjours qu'il y a accomplis en 2008 et en 2010 (pour lesquels il a sollicité et obtenu à chaque fois des visas de retour d'une durée de plusieurs semaines). Dans ces circonstances, aucun élément du dossier ne permet de retenir que la réintégration sociale du recourant dans son pays d'origine serait fortement compromise et que la poursuite de son séjour en Suisse s'imposerait dès lors pour des raisons personnelles majeures au sens de l'art. 50 al. 1 let. b LEtr.</w:t>
      </w:r>
    </w:p>
    <w:p>
      <w:r>
        <w:rPr>
          <w:b/>
        </w:rPr>
        <w:t>E. 6</w:t>
      </w:r>
    </w:p>
    <w:p>
      <w:r>
        <w:t>En considération de ce qui précède, le Tribunal est amené à conclure que l'ODM n'a ni excédé ni abusé de son pouvoir d'appréciation en retenant que le recourant ne remplissait pas les conditions de l'art. 50 LEtr et en refusant ainsi de donner son approbation à l'octroi d'une autorisation de séjour en sa faveur.</w:t>
      </w:r>
    </w:p>
    <w:p>
      <w:r>
        <w:rPr>
          <w:b/>
        </w:rPr>
        <w:t>E. 7</w:t>
      </w:r>
    </w:p>
    <w:p>
      <w:r>
        <w:t>Le recourant n'obtenant pas d'autorisation de séjour en Suisse, c'est également à bon droit que l'autorité inférieure a prononcé son renvoi, en application de l'art. 66 al. 1 LEtr. A._______ n'invoque pas et, a fortiori, ne démontre pas l'existence d'obstacles à son retour en Turquie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En conclusion, la décision du 8 octobre 2009 est conforme au droit. Le recours est en conséquence rejeté. Vu l'issue de la cause, les frais de procédure, d'un montant de Fr. 1000.-, sont mis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