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C-697/2011 vom 22. März 2012</w:t>
      </w:r>
    </w:p>
    <w:p>
      <w:r>
        <w:t>Bundesverwaltungsgericht, 2012-03-22, FR</w:t>
      </w:r>
    </w:p>
    <w:p>
      <w:r>
        <w:rPr>
          <w:b/>
        </w:rPr>
        <w:t xml:space="preserve">Quelle: </w:t>
      </w:r>
      <w:r>
        <w:t>https://mcp.opencaselaw.ch/entscheid/bvger_C-697_2011</w:t>
      </w:r>
    </w:p>
    <w:p>
      <w:r>
        <w:t>FR: TAF C-697/2011 du 22 mars 2012</w:t>
      </w:r>
    </w:p>
    <w:p>
      <w:r>
        <w:t>IT: TAF C-697/2011 del 22 marzo 2012</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Ne sont en revanche pas applicables les dispositions de la 6ème de la LAI (premier volet) en vigueur dès le 1er janvier 2012 (RO 2011 5659, FF 2010 1647). En ce qui concerne les faits déterminants, selon la jurisprudence, le Tribunal de céans doit se limiter à examiner la situation de fait existant jusqu'à la date de la décision attaquée (ATF 130 V 445 consid. 1.2).</w:t>
      </w:r>
    </w:p>
    <w:p>
      <w:r>
        <w:rPr>
          <w:b/>
        </w:rPr>
        <w:t>E. 5</w:t>
      </w:r>
    </w:p>
    <w:p>
      <w:r>
        <w:t>Le recourant conteste la validité matérielle de la décision de l'OAIE du 7 novembre 2010, dans la mesure où il prétend avoir droit à une rente entière d'invalidité.</w:t>
      </w:r>
    </w:p>
    <w:p>
      <w:r>
        <w:rPr>
          <w:b/>
        </w:rPr>
        <w:t>E. 6</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(pce 7). Partant, il remplit la condition relative à la durée de cotisations. Il reste dès lors à examiner s'il est invalide au sens de la LAI.</w:t>
      </w:r>
    </w:p>
    <w:p>
      <w:r>
        <w:rPr>
          <w:b/>
        </w:rPr>
        <w:t>E. 7.1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7.2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7.3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7.4</w:t>
      </w:r>
    </w:p>
    <w:p>
      <w:r>
        <w:t>Le droit à la rente prend naissance au plus tôt à l'échéance d'une période de 6 mois à compter de la date à laquelle l'assuré a fait valoir son droit aux prestations (art. 29 al. 1 LAI).</w:t>
      </w:r>
    </w:p>
    <w:p>
      <w:r>
        <w:rPr>
          <w:b/>
        </w:rPr>
        <w:t>E. 7.5</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8.1</w:t>
      </w:r>
    </w:p>
    <w:p>
      <w:r>
        <w:t>Selon les questionnaires aux actes, le recourant a pu exercer sa dernière activité de maçon à temps plein, 8 heures par jour, 40 heures par semaine pour un salaire mensuel de EUR 1'052.19 du 1er au 7 octobre 2009, date de l'accident et n'a plus repris d'activité depuis lors.</w:t>
      </w:r>
    </w:p>
    <w:p>
      <w:r>
        <w:rPr>
          <w:b/>
        </w:rPr>
        <w:t>E. 8.2</w:t>
      </w:r>
    </w:p>
    <w:p>
      <w:r>
        <w:t>Pour la période successive, et 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10.1</w:t>
      </w:r>
    </w:p>
    <w:p>
      <w:r>
        <w:t>Il ressort des pièces médicales au dossier que le recourant souffre essentiellement d'un statut après fracture de L1 sans trouble neurologique, opérée par fixation, d'un éthylisme chronique sans trouble psychiatrique associé, d'épisodes épileptiques et de déficit cognitif léger.</w:t>
      </w:r>
    </w:p>
    <w:p>
      <w:r>
        <w:rPr>
          <w:b/>
        </w:rPr>
        <w:t>E. 10.2</w:t>
      </w:r>
    </w:p>
    <w:p>
      <w:r>
        <w:t>En ce qui concerne les conséquences des affections diagnostiquées sur la capacité de travail, le médecin de l'INSS a relevé, dans le rapport E 213 du 11 mars 2010, que le recourant ne pouvait plus travailler comme maçon mais, qu'en revanche, une activité adaptée à temps complet qui évite les surcharges de la colonne vertébrale, l'humidité, le froid, le port et le transport d'objets lourds, le risque de chuter et sans stress et qui permet de varier les positions, était toutefois exigible, il a précisé qu'une amélioration de la santé était possible notamment par l'abstinence alcoolique.</w:t>
      </w:r>
    </w:p>
    <w:p>
      <w:r>
        <w:rPr>
          <w:b/>
        </w:rPr>
        <w:t>E. 10.3</w:t>
      </w:r>
    </w:p>
    <w:p>
      <w:r>
        <w:t>De son côté, le médecin de l'OAIE a d'abord considéré que le status après facture de L1 ne permet plus au recourant d'exercer des travaux lourds, de porter des charges de plus de 10 kg et d'effectuer une marche prolongée comme sa dernière activité en date d'assistant-maçon l'exigeait, mais qu'en revanche des activités plus légères restaient exigibles. Il a donc estimé l'incapacité de travail dans l'activité habituelle de 70 % dès le 7 octobre 2009 et une pleine capacité de travail dans des activités de substitution dès le 7 février 2010. En fonction de l'activité indépendante exercée au Portugal dans les années 2006-2009 dans une pizzeria et l'activité de cuisinier exercée en Suisse, le médecin a retenu une incapacité de travail de 100 % dès le 7 octobre 2009 et de 50 % dès le 7 février 2010 et toujours une pleine capacité de travail pour des activités de substitution dès le 7 février 2010. Dans les deux cas, ce médecin a considéré que le recourant présentait une pleine capacité de travail dans des activités adaptées 4 mois après son accident.</w:t>
      </w:r>
    </w:p>
    <w:p>
      <w:r>
        <w:rPr>
          <w:b/>
        </w:rPr>
        <w:t>E. 10.4</w:t>
      </w:r>
    </w:p>
    <w:p>
      <w:r>
        <w:t>Le recourant a, pour sa part, mis en exergue ses pathologies, leurs répercussions sur les activités possibles et l'impossibilité de trouver un emploi. Le Dr E._______, a quant à lui, retenu que les pathologies du recourant ainsi que ses limitation fonctionnelles engendraient des restrictions importantes dans sa vie quotidienne et ne lui permettaient pas de présenter une quelconque capacité de travail.</w:t>
      </w:r>
    </w:p>
    <w:p>
      <w:r>
        <w:rPr>
          <w:b/>
        </w:rPr>
        <w:t>E. 10.5</w:t>
      </w:r>
    </w:p>
    <w:p>
      <w:r>
        <w:t>La Cour de céans relève que, en l'espèce, le médecin de l'INSS et celui de l'OAIE ont un avis concordant tant sur les diagnostics que sur la capacité totale de travail du recourant dans une activité de substitution en tenant compte des limitations fonctionnelles. Les Drs F._______ et E._______, quant à eux, font mention d'une incapacité permanente et totale dans tout type d'activité professionnelle. Ces médecins dressent la liste des diverses pathologies dont est atteint le recourant et des limitations fonctionnelles qui en découlent. Ces pathologies ont été retenues et prises en compte par les médecins de l'OAIE et de l'INSS. A l'examen objectif effectué le 2 mars 2010, le médecin de l'INSS a en effet pu constater que la flexion lombaire est très limitée, qu'il n'y a pas de signe de radiculopathie, la force, la sensibilité et la rotation sont conservées, les mouvements et la marche sont normaux, les réflexes conservés et qu'il n'y a aucune atteinte aux membres supérieurs et inférieurs. Du point de vu interne, nonobstant l'abus d'alcool, les tests de fonctionnalité hépatique sont dans la norme, l'appareil cardiovasculaire est aussi exempt de pathologie et, du point de vue psychique, l'assuré se présente orienté dans le temps et dans l'espace, il n'a d'ailleurs jamais consulté de psychiatre. Ainsi, la Cour de céans se doit de retenir que le recourant présente une incapacité de travail tant dans l'activité de maçon que celle de cuisinier mais qu'il faut retenir une pleine capacité de travail dans des activités de substitution dès le 7 février 2010, soit 4 mois après son accident et les suites de l'opération, en tenant compte des limitations afférant à ses pathologies physiques. Il reste encore à déterminer si la dépendance alcoolique du recourant peut influencer sa capacité de travail.</w:t>
      </w:r>
    </w:p>
    <w:p>
      <w:r>
        <w:rPr>
          <w:b/>
        </w:rPr>
        <w:t>E. 10.6</w:t>
      </w:r>
    </w:p>
    <w:p>
      <w:r>
        <w:t>Selon la jurisprudence, la dépendance qu'elle prenne la forme de l'alcoolisme, de la pharmacodépendance ou de la toxicomanie, ne constitue pas en soi une invalidité au sens de la loi. Elle joue en revanche un rôle dans l'assurance-invalidité lorsqu'elle a provoqué une maladie ou un accident qui entraine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en raison d'une addiction,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9C_960/2009 du 24 février 2010 consid. 2.2 et, sur l'ensemble de la question, ég. arrêt I 169/06 du 8 août 2006 consid. 2.2 et les arrêts cités; arrêt 9C_395/2007 du 15 avril 2008 consid. 2.2). En l'occurrence, le médecin de l'OAIE a retenu que le recourant souffre d'un éthylisme chronique sans trouble psychiatrique associé. Les médecins privés et le médecin de l'INSS ont également diagnostiqué cette dépendance mais aucun ne l'a reliée à une maladie psychiatrique. Dès lors l'alcoolisme chronique que présente le recourant ne peut pas être retenu en tant que maladie invalidante.</w:t>
      </w:r>
    </w:p>
    <w:p>
      <w:r>
        <w:rPr>
          <w:b/>
        </w:rPr>
        <w:t>E. 10.7</w:t>
      </w:r>
    </w:p>
    <w:p>
      <w:r>
        <w:t>Au vu de ce qui précède, le Tribunal peut donc conclure que le recourant présente dès lors une incapacité de travail 100 % dès le 7 octobre 2009 et une capacité de travail de 50 % dès le 7 février 2010 dans son activité habituelle de cuisinier et une pleine capacité de travail dans une activité de substitution dès le 7 février 2010.</w:t>
      </w:r>
    </w:p>
    <w:p>
      <w:r>
        <w:rPr>
          <w:b/>
        </w:rPr>
        <w:t>E. 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11.1</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11.2</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En l'espèce, l'autorité inférieure s'est fiée aux données statistiques suisses et non à celles espagnoles,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12.2</w:t>
      </w:r>
    </w:p>
    <w:p>
      <w:r>
        <w:t>Il faut donc procéder à une évaluation de l'invalidité, selon la méthode générale, par une comparaison de revenus indexés à 2010 et non à 2008.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incapacité de travail de 100 %, dans son ancienne activité depuis le 7 octobre 2009, de sorte que le droit à la rente aurait pu naître au plus tôt une année après, soit en 2010.</w:t>
      </w:r>
    </w:p>
    <w:p>
      <w:r>
        <w:rPr>
          <w:b/>
        </w:rPr>
        <w:t>E. 12.3</w:t>
      </w:r>
    </w:p>
    <w:p>
      <w:r>
        <w:t>En l'espèce l'autorité inférieure avait d'abord retenu l'activité de maçon comme activité habituelle puis, après complément d'information, celle de cuisinier. Le Tribunal de céans constate que le recourant n'a exercé l'activité d'assistant-maçon que pendant 7 jours (du 1er au 7 octobre 2009). En revanche, lorsqu'il était en Suisse il travaillait dans le domaine de la restauration et il a géré pendant 3 ans une pizzeria au Portugal. Dès lors, le Tribunal de céans se doit de retenir comme activité habituelle celle de cuisinier puisqu'il ressort des documents au dossier que ce fut l'activité principale du recourant.</w:t>
      </w:r>
    </w:p>
    <w:p>
      <w:r>
        <w:rPr>
          <w:b/>
        </w:rPr>
        <w:t>E. 12.4</w:t>
      </w:r>
    </w:p>
    <w:p>
      <w:r>
        <w:t>En l'espèce, sur la base des données de l'enquête suisse des salaires publiées par l'OFS pour 2010 (Tableau TA1, hommes, niveau de qualification 3), le salaire mensuel moyen d'un salarié dans le domaine de la restauration avec des connaissances professionnelles spécialisées était de Fr. 4'383.--. Après adaptation au nombre d'heures effectuées en 2010 dans le secteur concerné, à savoir 42.3 heures (par rapport aux 40 heures de base, La Vie économique 1/2-2012, B 9.2), on obtient un revenu mensuel sans invalidité de Fr. 4'635.--.</w:t>
      </w:r>
    </w:p>
    <w:p>
      <w:r>
        <w:rPr>
          <w:b/>
        </w:rPr>
        <w:t>E. 12.5</w:t>
      </w:r>
    </w:p>
    <w:p>
      <w:r>
        <w:t>Le revenu d'invalide tiré des données statistiques, doit tenir compte d'un large éventail d'activités légères existant sur le marché du travail. Un nombre suffisant d'entre elles permettent d'éviter le port de charge de plus de 10 kg et les activités lourdes et exigent peu de marche. Ces activités sont donc adaptées au handicap du recourant. De plus, la majeure partie de ces postes ne nécessite pas de formation particulière autre qu'une mise à jour initiale.</w:t>
      </w:r>
    </w:p>
    <w:p>
      <w:r>
        <w:rPr>
          <w:b/>
        </w:rPr>
        <w:t>E. 12.6</w:t>
      </w:r>
    </w:p>
    <w:p>
      <w:r>
        <w:t>Les activités de substitution proposées par le service médical de l'OAIE sont des activités simples et répétitives que l'on trouve dans le secteur de l'industrie (dont le revenu moyen en Suisse en 2010 pour les hommes, niveau de qualification 4 était de Fr. 5'192.--), dans le secteur des services fournis aux entreprises (Fr. 4'501.--), dans le commerce en général (Fr. 4'648.--) et de détail (Fr. 4'508.--) et dans les services collectifs et personnels (Fr. 4'256.--), soit en moyenne Fr. 4'621.--. Ce montant doit ensuite être adapté à l'horaire usuel moyen des secteurs secondaire et tertiaire en 2010 soit une moyenne de 41.5 heures (par rapport aux 40 heures de base, la Vie économique 1/2-2012, B. 9.2). soit Fr. 4'794.--. On obtient ainsi un revenu mensuel pour un travail à 100 %, en tenant compte d'un abattement de 15 % (cf. consid. 11.2, ATF 126 V 75 consid. 6) pour les circonstances personnelles et professionnelles, de Fr. 4'074.--.</w:t>
      </w:r>
    </w:p>
    <w:p>
      <w:r>
        <w:rPr>
          <w:b/>
        </w:rPr>
        <w:t>E. 12.7</w:t>
      </w:r>
    </w:p>
    <w:p>
      <w:r>
        <w:t>En procédant à la comparaison des deux salaires, selon la formule [(4'635 - 4'074) x 100 : 4'635], l'on obtient une perte de gain de 12 %, correspondant à une capacité de travail de 100 % dans une activité de substitution, valeur qui n'ouvre pas le droit à une rente d'invalidité.</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14.1</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14.2</w:t>
      </w:r>
    </w:p>
    <w:p>
      <w:r>
        <w:t>Il n'est pas alloué de dépens (art. 64 al. 1PA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