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C-6976/2008 vom 22. April 2010</w:t>
      </w:r>
    </w:p>
    <w:p>
      <w:r>
        <w:t>Bundesverwaltungsgericht, 2010-04-22, FR</w:t>
      </w:r>
    </w:p>
    <w:p>
      <w:r>
        <w:rPr>
          <w:b/>
        </w:rPr>
        <w:t xml:space="preserve">Quelle: </w:t>
      </w:r>
      <w:r>
        <w:t>https://mcp.opencaselaw.ch/entscheid/bvger_C-6976_2008</w:t>
      </w:r>
    </w:p>
    <w:p>
      <w:r>
        <w:t>FR: TAF C-6976/2008 du 22 avril 2010</w:t>
      </w:r>
    </w:p>
    <w:p>
      <w:r>
        <w:t>IT: TAF C-6976/2008 del 22 aprile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1.1</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17 septembre 2008, date de la décision attaquée, ne serait pas plus favorable au recourant (cf. arrêt du Tribunal administratif fédéral C-1224/2008 du 28 janvier 2010 consid. 2.2). Par conséquent, sauf indication contraire, les dispositions citées ci-après sont celles en vigueur jusqu'au 31 décembre 2007.</w:t>
      </w:r>
    </w:p>
    <w:p>
      <w:r>
        <w:rPr>
          <w:b/>
        </w:rPr>
        <w:t>E. 3.3</w:t>
      </w:r>
    </w:p>
    <w:p>
      <w:r>
        <w:t>En l'occurrence, la demande de prestations de l'assurance-invalidité a été déposée le 11 juin 2005.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11 juin 2004 (12 mois avant le dépôt de la demande) ou si le droit à une rente était né entre cette date et le 17 septembre 2008,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Le recourant a versé des cotisations à l'AVS/AI pendant plus d'une année au total (pce 61)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9</w:t>
      </w:r>
    </w:p>
    <w:p>
      <w:r>
        <w:t>Le litige porte sur le droit du recourant à des prestations de l'assurance-invalidité, singulièrement sur le point de savoir s'il présente un taux d'invalidité suffisant à cet effet.</w:t>
      </w:r>
    </w:p>
    <w:p>
      <w:r>
        <w:rPr>
          <w:b/>
        </w:rPr>
        <w:t>E. 9.1</w:t>
      </w:r>
    </w:p>
    <w:p>
      <w:r>
        <w:t>Il appert notamment du rapport E 213 du 11 juillet 2005 (pce 19) et de l'expertise datée du 7 avril 2008 effectuée au CEMed (pce 50) que l'assuré souffre principalement de troubles de la colonne vertébrale et de l'ouïe.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 Au vu de la documentation médicale versée au dossier, il appert que le début de la maladie de longue durée remonte au 12 décembre 2003 (pce 2 p. 2 n° 7.4; 9 p. 2 n° 9; 19 p. 2 n° 3.4.4; 30; 33 p. 1).</w:t>
      </w:r>
    </w:p>
    <w:p>
      <w:r>
        <w:rPr>
          <w:b/>
        </w:rPr>
        <w:t>E. 9.2</w:t>
      </w:r>
    </w:p>
    <w:p>
      <w:r>
        <w:t>Il convient ensuite d'examiner dans quelle mesure le recourant est en mesure d'exercer une activité lucrative sur le plan médical.</w:t>
      </w:r>
    </w:p>
    <w:p>
      <w:r>
        <w:rPr>
          <w:b/>
        </w:rPr>
        <w:t>E. 9.2.1</w:t>
      </w:r>
    </w:p>
    <w:p>
      <w:r>
        <w:t>A titre liminaire, on rappelle que, 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une rente de l'assurance-invalidité suisse est déterminé exclusivement d'après le droit suisse (ATF 130 V 253 consid. 2.4; arrêt du Tribunal fédéral I 376/05 du 5 août 2005 consid. 3.1). En l'espèce, il n'est de ce fait pas déterminant que les institutions de sécurité sociale espagnoles aient reconnu à l'assurée un droit à percevoir une rente d'invalidité (pce TAF 1 p. 9-12). Il n'y a ainsi pas lieu de se prononcer sur les divergences entre la notion d'invalidité selon la législation espagnole et celle selon l'ordre juridique suisse (cf. à ce sujet arrêt du Tribunal administratif du 5 mars 2010 consid. 9.1). Par ailleurs,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références citées ; ATF 115 V 38 consid. 3d).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et supra consid. 6.1).</w:t>
      </w:r>
    </w:p>
    <w:p>
      <w:r>
        <w:rPr>
          <w:b/>
        </w:rPr>
        <w:t>E. 9.2.2</w:t>
      </w:r>
    </w:p>
    <w:p>
      <w:r>
        <w:t>En l'espèce, l'administration retient l'exigibilité à plein temps d'un travail de substitution adapté en se fondant notamment sur les conclusions de l'expertise du CEMed datée du 7 avril 2008 et des prises de position son service médical. Le recourant conteste le bien-fondé de cette expertise et se basant avant tout sur les rapports médicaux du Dr H._______ datés des 16 août 2005 (pce 20), 21 décembre 2006 (pce 36) et du 1er décembre 2008 (pce TAF 4, annexe 2).</w:t>
      </w:r>
    </w:p>
    <w:p>
      <w:r>
        <w:rPr>
          <w:b/>
        </w:rPr>
        <w:t>E. 9.2.3</w:t>
      </w:r>
    </w:p>
    <w:p>
      <w:r>
        <w:t>Cela étant, on constate que la Dresse I._______, dans un rapport médical E 213 du 11 juillet 2005 (pce 19), a retenu que l'assuré n'était plus en mesure d'exercer sa profession de maçon mais qu'il pouvait réaliser à plein temps un travail de substitution mi-lourd (pce 19 p. 8-10). Cette évaluation a été contestée par le Dr H._______. Dans ses rapports des 16 août 2005 (pce 20) et 21 décembre 2006 (pce 36), il estime que le recourant présente une symptomatologie continue, même au repos et que les affections dont il est victime (notamment cervicalgies et dorsalgies; atteinte otorhino-laryngologiques avec sourdité et trouble de l'équilibre; déficit moteur important du membre supérieur droit avec paresthésie empêchant le port de poids et la réalisation de manipulations précises) rendent impossible l'accomplissement de tout travail de quelle nature que se soit. Ces divergences dans la documentation médicale ont conduit l'autorité inférieure à mettre en oeuvre une expertise pluridisciplinaire (cf. prise de position du 17 février 2007 du Dr B._______, du service médical de l'OAIE [pce 38]). Dans leur rapport d'expertise daté du 7 avril 2008 les experts concluent que l'examen somatique, incluant une Electroneuromyographie (ENMG), n'a pas démontré de pathologie neurologique significative objectivable susceptible d'entraîner une compression radiculaire ou médullaire et, en conséquence, d'expliquer les plaintes formulées par le patient et les anomalies mises en évidence au status (pce 50 p. 26 et 28). Par ailleurs, sur le plan otoneurologique, le déficit vestibulaire périphérique mal compensé contre-indique certains travaux requérant l'utilisation d'échelles ou d'échafaudages, de gravir des plans inclinés, d'effectuer des mouvements constants de la tête et du corps. Cette atteinte n'empêche toutefois pas un travail adapté à plein temps, dans une situation stable, ne demandant pas de mouvements constants de la tête ou du corps, ni non plus un travail face à un écran d'ordinateur. Les experts précisent que l'assuré ne peut pas non plus exercer un travail qui demande une écoute attentive (par exemple serveur), qui requiert de conduire des véhicules ou qui l'expose au bruit (par exemple dans l'industrie). Sur le plan psychiatrique, ils concluent à l'absence d'une incapacité de travail quelconque. Sur ces bases, les experts retiennent que l'assuré ne peut plus être actif dans son activité habituelle mais qu'un travail adapté est exigible de sa part à 100% (pce 50 p. 28-30). Les Drs B._______ et G._______, dans leurs prises de position des 4 mai 2008 (pce 53) et 9 mars 2009 (pce 63) ont par la suite repris à leur compte les conclusions des experts.</w:t>
      </w:r>
    </w:p>
    <w:p>
      <w:r>
        <w:rPr>
          <w:b/>
        </w:rPr>
        <w:t>E. 9.2.4</w:t>
      </w:r>
    </w:p>
    <w:p>
      <w:r>
        <w:t>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Dans ce contexte, force est de constater que l'expertise du CEMed répond à toutes les exigences jurisprudentielles en la matière (cf. supra consid. 8). Ses conclusions sont d'autant plus convaincantes du fait qu'elle revêt un caractère interdisciplinaire avec la participation de spécialistes FMH dans différents domaines (rhumatologie, psychiatrie-psychothérapie et neurologie) et qu'elle a été rendue à la suite d'examens approfondis y compris au niveau otoneurologique. Le recourant estime pour sa part que la documentation médicale versée au dossier est suffisante pour remettre en question les conclusions de l'expertise. Tel n'est toutefois pas le cas. En effet, l'intéressé se réfère avant tout à un rapport médical du 1er décembre 2008 signé par le Dr H._______. Ce document reprend en substance les indications et arguments développés dans les rapports médicaux de ce même médecin des 16 août 2005 (pce 20) et 21 décembre 2006 (pce 36) sans qu'il soit pris position sur les conclusions divergentes de l'expertise du CEMed. Partant, il ne contient aucun élément permettant de remettre sérieusement en doute les conclusions de l'expertise du 7 avril 2008.</w:t>
      </w:r>
    </w:p>
    <w:p>
      <w:r>
        <w:rPr>
          <w:b/>
        </w:rPr>
        <w:t>E. 9.2.5</w:t>
      </w:r>
    </w:p>
    <w:p>
      <w:r>
        <w:t>Dans ces conditions, le Tribunal de céans ne peut que se rallier aux conclusions des experts du CEMed et conclure que le recourant présente une capacité de travail entière dans un travail adapté à ses affections (cf. à ce sujet supra let. G in fine et M.a; voire également consid. 9.2.3).</w:t>
      </w:r>
    </w:p>
    <w:p>
      <w:r>
        <w:rPr>
          <w:b/>
        </w:rPr>
        <w:t>E. 10.1</w:t>
      </w:r>
    </w:p>
    <w:p>
      <w:r>
        <w:t>L'assuré a droit à une rente s'il est invalide à 40% au moins (art. 28 al. 1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du Tribunal fédéral,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raisonnablement la possibilité de mettre à profit sa capacité résiduelle de gain, et s'il peut ou non réaliser un revenu excluant le droit à une rente (ATF 110 V 276 consid. 4b; voir également ATF 127 V 298 consid. 4c).</w:t>
      </w:r>
    </w:p>
    <w:p>
      <w:r>
        <w:rPr>
          <w:b/>
        </w:rPr>
        <w:t>E. 10.2</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La notion de marché équilibré du travail embrasse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 Tel n'est pas le cas en l'espèce. Certes, on relève que notamment les troubles de l'ouïe restreignent de façon non négligeable les possibilités de travail de l'assuré dans un emploi léger ne demandant pas de connaissances particulières. Cette atteinte n'est toutefois pas d'une ampleur suffisante pour rendre irréaliste tout travail adapté à ses handicaps dans les secteurs retenus par l'administration (cf. arrêts du Tribunal fédéral 9C_556/2007 du 29 avril 2008 consid. 5.3; 9C_855/2009 du 3 mars 2010 consid. 2.4). Dans ce contexte, on note que les activités respectivement professions retenues à titre d'exemple par l'administration dont notamment celles de magasinier et de commissionnaire n'apparaissent pas incompatibles avec les limitations médicales dont doit tenir compte le recourant.</w:t>
      </w:r>
    </w:p>
    <w:p>
      <w:r>
        <w:rPr>
          <w:b/>
        </w:rPr>
        <w:t>E. 11.1</w:t>
      </w:r>
    </w:p>
    <w:p>
      <w:r>
        <w:t>Il convient encore d'examiner la perte de gain que le recourant subirait dans l'exercice d'une activité de substitution exigible à 100%. Dans ce contexte, on note que l'autorité inférieure a renoncé à l'application de la méthode dite extraordinaire mais a choisi la méthode ordinaire de comparaison des revenus. Cette manière de procéder n'est pas critiquable étant donné que le recourant a cessé de travailler à son compte après son atteinte à la santé et que les conditions pour exiger de lui qu'il reprenne une telle activité ne sont pas remplies (arrêt du Tribunal fédéral I 842/05 du 1er juin 2006 consid. 5.3.2). Dans ces circonstances, il y a lieu, lors de l'évaluation de l'invalidité, de prendre en compte le salaire qu'il pourrait obtenir dans une activité dépendante (arrêts du Tribunal fédéral I 543/03 du 27 août 2004 consid. 4.3; I 204/05 du 29 septembre 2005 consid. 4.5 et 5.2.1; Revue d'assurance-maladie et accidents, jurisprudence et pratique administrative [RAMA] 1995 p. 107).</w:t>
      </w:r>
    </w:p>
    <w:p>
      <w:r>
        <w:rPr>
          <w:b/>
        </w:rPr>
        <w:t>E. 11.2.1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Ce gain doit être comparé au moment déterminant avec celui que la personne valide aurait effectivement pu réaliser au degré de la vraisemblance prépondérante si elle était en bonne santé (ATF 129 V 224 consid. 4.3.1).</w:t>
      </w:r>
    </w:p>
    <w:p>
      <w:r>
        <w:rPr>
          <w:b/>
        </w:rPr>
        <w:t>E. 11.2.2</w:t>
      </w:r>
    </w:p>
    <w:p>
      <w:r>
        <w:t>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w:t>
      </w:r>
    </w:p>
    <w:p>
      <w:r>
        <w:rPr>
          <w:b/>
        </w:rPr>
        <w:t>E. 11.2.3</w:t>
      </w:r>
    </w:p>
    <w:p>
      <w:r>
        <w:t>La comparaison de revenus doit par ailleurs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 (cf. arrêt du Tribunal fédéral I 60/06 du 21 mars 2007).</w:t>
      </w:r>
    </w:p>
    <w:p>
      <w:r>
        <w:rPr>
          <w:b/>
        </w:rPr>
        <w:t>E. 11.2.4</w:t>
      </w:r>
    </w:p>
    <w:p>
      <w:r>
        <w:t>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11.3</w:t>
      </w:r>
    </w:p>
    <w:p>
      <w:r>
        <w:t>En l'espèce, l'OAIE a effectué une évaluation de l'invalidité selon la méthode générale en se fondant sur les données de l'ESS (cf. supra let. I et M.b). Concernant le salaire de valide, elle a retenu qu'un salarié avec des connaissances spécialisées dans la construction obtenait en moyenne un salaire mensuel de Fr. 5'652.44 pour 41.7 h./sem. Elle a ensuite augmenté ce montant de 10% pour tenir compte de la longue expérience et du fait que le recourant exerçait son activité à son compte (110% de 5'652.44 = 6'217.68). Quant au revenu d'invalide, elle a conclut que le revenu théorique moyen pour les activité de substitution simples et répétitives proposées par son service médical, auquel devait encore être effectué une déduction de 15% pour motifs personnels et professionnels, se montait à Fr. 3'986.89. Elle en a déduit un taux d'invalidité de 35.87% ([{6'217.68 - 3'986.89} x 100] : 6'217.68). Cette manière de procéder donne lieu aux remarques suivantes. Tout d'abord, on constate que l'autorité inférieure était habilitée à se référer aux données statistiques suisses, étant donné que le recourant a travaillé en dernier lieu en Espagne (cf. à ce sujet supra consid. 11.2.3) et que l'administration ne disposait pas de données suffisamment fiables sur le revenu de l'assuré réalisé dans son pays d'origine en tant qu'indépendant (arrêt du Tribunal fédéral I 53/05 du 9 mai 2005 consid. 2.3). Dans une telle constellation, la jurisprudence admet en principe que le revenu sans invalidité soit déterminé en se référant au tableau TA1 de l'ESS quand bien même les données y relatives se rapportent uniquement à des personnes exerçant une activité dépendante. Pour chaque secteur concerné, ce tableau fait part de salaires moyens pour le niveau de qualification 1+2 (travaux les plus exigeants et tâches les plus difficiles; travail indépendant très qualifié), le niveau de qualification 3 (connaissances professionnelles spécialisées) et le niveau de qualification 4 (activités simples et répétitives). Il se pose la question de savoir à quel niveau de qualification le salaire d'un travailleur indépendant doit être assimilé. Selon la jurisprudence, il convient de se référer aux circonstances particulières du cas concret pour déterminer si le niveau de qualification 1+2 ou le niveau de qualification 3 correspond au mieux à la situation économique de l'assuré. Ainsi, à défaut d'éléments incitant à penser le contraire - par exemple lorsque le commerce de l'assuré était particulièrement lucratif avant l'atteinte à la santé - on considère dans la règle que le niveau de qualification 3 reflète de manière la plus réaliste la situation économique de l'assuré (cf. notamment arrêt du Tribunal administratif fédéral C-1255/2008 du 25 février 2010 consid. 12; C-3897/2007 du 28 mai 2009 consid. 11.3; arrêt de la Commission fédérale de recours en matière d'assurance-vieillesse, survivants et invalidité pour les personnes résidant à l'étranger AI 60479 du 16 décembre 2004 confirmé dans l'arrêt du Tribunal fédéral I 53/05 du 9 mai 2005 consid. 2.3; voire également arrêt du Tribunal fédéral I 60/06 du 21 mars 2007). En l'espèce, le recourant a exercé la profession de maçon indépendant pour un revenu mensuel en Espagne de EUR 661.11 (pce 9 p. 1 n° 5 et p. 4) et rien au dossier ne laisse à penser que le niveau de qualification 1+2 correspondrait mieux à la situation économique de l'assuré. C'est donc à juste titre que l'autorité inférieure s'est référée au niveau de qualification 3 pour déterminer le salaire avant invalidité du recourant. On ne voit toutefois pas pour quelle raison il se justifierait dans le cas d'espèce de procéder à une augmentation de 10% de ce salaire comme l'a fait l'administration. Cette question n'a toutefois pas à être développée plus en avant vu que, même en retenant cette manière de procéder qui est en tout point favorable au recourant, ce dernier n'atteint pas un taux d'invalidité suffisant pour ouvrir le droit à une rente. Par ailleurs, il s'agit en principe de comparer les revenus en fonction de ce qu'ils étaient, ou auraient pu être douze mois après l'apparition des atteintes causant l'incapacité (art. 29 al. 1 let. b LAI; ATF 129 V 222 consid. 4.3.1 et 4.4; ATF 128 V 174; arrêt du Tribunal administratif fédéral C-4599/2007 du 27 avril 2009 consid. 10.1), soit en l'espèce le 12 décembre 2004 (cf. supra consid. 9.1). En l'occurrence, la comparaison des revenus doit donc être effectuée sur la bases des données salariales portant sur l'année 2004. En procédant de la sorte, on retient pour le recourant un revenu statistique mensuel moyen de Fr. 5'358.- pour 40 h./sem. (secteur "construction", niveau de qualification 3). Après adaptation au nombre d'heures de travail hebdomadaires effectuées en 2004 en moyenne dans ce secteur, à savoir 41.7 heures h./sem., on obtient un revenu sans invalidité de Fr 5'585.72. Selon l'avis de l'administration il convient encore d'augmenter ce salaire de 10%, ce qui donne un montant de Fr. 6'144.29 (110% de 5'585.72). Les activités de substitution proposées par le service médical de l'OAIE, sont des activités légères comparables à des activités simples et répétitives, de niveau de qualification 4, dans les secteurs « commerce de gros; intermédiaire du commerce » (Fr. 4'672.- pour 40 h./sem.), « commerce de détail; réparation d'articles domestiques » (Fr. 4'280.-), « Informatique, Recherche et développement; services fournis aux entreprises » (Fr. 4'333.-), « Autres services collectifs et personnels » (Fr. 4'181.-). La moyenne de ces revenus - adaptés au nombre d'heures hebdomadaires effectuées en moyenne en 2004 (41.9, 41.9, 41.7, 41.7 heures par semaine respectivement) correspond à un montant de Fr. 4'563.27. L'autorité inférieure estime qu'il se justifie d'opérer une réduction de 15% sur le salaire d'invalide pour tenir compte des particularités du cas d'espèce. Le Tribunal de céans ne voit pas de raisons suffisantes pour remettre en cause cette évaluation qui reste dans le cadre du pouvoir d'appréciation de l'administration. En effet, même si l'éventail des activités encore exigibles de la part de l'assuré semble restreint notamment suite à ses problèmes d'ouïe, on note que ce dernier est toutefois apte à exercer un travail de substitution à temps complet sans que des pauses supplémentaires soient nécessaires (pces 50 p. 33; 53 p. 2). Il convient donc de fixer le revenu avec invalidité à Fr. 3'878.78 (85% du 4'563.27). La comparaison du revenu sans invalidité de Fr. 6'144.29 au revenu d'invalide de Fr. 3'878.78 fait apparaître un préjudice économique de 36.87% ([6'144.29 - 3'878.78] x 100) : 6'144.29). Ce taux d'invalidité ne donne pas droit à une rente d'invalidité. En outre, on note qu'il en irait de même si la comparaison des revenus était effectuée en fonction des données ESS 2008, date de la décision entreprise ([{6'408.69 - 4'029.99} x 100] : 6'408.69 = 37.12%).</w:t>
      </w:r>
    </w:p>
    <w:p>
      <w:r>
        <w:rPr>
          <w:b/>
        </w:rPr>
        <w:t>E. 12</w:t>
      </w:r>
    </w:p>
    <w:p>
      <w:r>
        <w:t>Au vu de ce qui précède, il appert que la décision entreprise doit être confirmée et le recours rejeté.</w:t>
      </w:r>
    </w:p>
    <w:p>
      <w:r>
        <w:rPr>
          <w:b/>
        </w:rPr>
        <w:t>E. 13</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