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C-6962/2015 vom 14. April 2016</w:t>
      </w:r>
    </w:p>
    <w:p>
      <w:r>
        <w:t>Bundesverwaltungsgericht, 2016-04-14, IT</w:t>
      </w:r>
    </w:p>
    <w:p>
      <w:r>
        <w:rPr>
          <w:b/>
        </w:rPr>
        <w:t xml:space="preserve">Quelle: </w:t>
      </w:r>
      <w:r>
        <w:t>https://mcp.opencaselaw.ch/entscheid/bvger_C-6962_2015</w:t>
      </w:r>
    </w:p>
    <w:p>
      <w:r>
        <w:t>FR: TAF C-6962/2015 du 14 avril 2016</w:t>
      </w:r>
    </w:p>
    <w:p>
      <w:r>
        <w:t>IT: TAF C-6962/2015 del 14 aprile 2016</w:t>
      </w:r>
    </w:p>
    <w:p>
      <w:pPr>
        <w:pStyle w:val="Heading2"/>
      </w:pPr>
      <w:r>
        <w:t>Regeste</w:t>
      </w:r>
    </w:p>
    <w:p>
      <w:r>
        <w:t>Rendite</w:t>
      </w:r>
    </w:p>
    <w:p>
      <w:pPr>
        <w:pStyle w:val="Heading2"/>
      </w:pPr>
      <w:r>
        <w:t>Erwägungen</w:t>
      </w:r>
    </w:p>
    <w:p>
      <w:r>
        <w:rPr>
          <w:b/>
        </w:rPr>
        <w:t>E. 10.1</w:t>
      </w:r>
    </w:p>
    <w:p>
      <w:r>
        <w:t>Ora, in base alla scala 19 e ad un reddito annuo medio determinante di fr. 32'430.-, la rendita mensile di vecchiaia ammonta, per il 2015, a fr. 679.-.</w:t>
      </w:r>
    </w:p>
    <w:p>
      <w:r>
        <w:rPr>
          <w:b/>
        </w:rPr>
        <w:t>E. 10.2</w:t>
      </w:r>
    </w:p>
    <w:p>
      <w:r>
        <w:t>Il ricorrente non si spiega per quale motivo con un aumento consistente del reddito annuo medio determinate rispetto a quanto accertato nella prima decisione (da fr. 23'970.- a fr. 32'430.-) si ottenga un incremento tutto sommato limitato della prestazione mensile (fr. 679.- anziché fr. 600.). Ora, il reddito annuo medio di cui alle tabelle è suddiviso in ben 51 graduazioni (da fr. 14'100.- a fr. 84'600.-). Ora, nel caso dell'insorgente la differenza non rappresenta che 5 graduazioni di RAM, per cui l'aumento è conforme alle tabelle e, in termini contabili, è pari circa al 13% (cfr. Tables des rentes AVS/AI, 2015, pag. 69). Viste le graduazioni tabellari, l'assunto del ricorrente secondo cui l'aumento percentuale del RAM deve corrispondere ad un aumento corrispondente della rendita, è dunque privo di fondamento.</w:t>
      </w:r>
    </w:p>
    <w:p>
      <w:r>
        <w:rPr>
          <w:b/>
        </w:rPr>
        <w:t>E. 10.3</w:t>
      </w:r>
    </w:p>
    <w:p>
      <w:r>
        <w:t>Ne consegue che i dati ed i calcoli alla base della prestazione erogata sono conformi al diritto federale e pertanto corretti. Per quanto ricevibile, il ricorso dev'essere pertanto respinto.</w:t>
      </w:r>
    </w:p>
    <w:p>
      <w:r>
        <w:rPr>
          <w:b/>
        </w:rPr>
        <w:t>E. 11</w:t>
      </w:r>
    </w:p>
    <w:p>
      <w:r>
        <w:t>Ai sensi dell'art. 85bis cpv. 3 LAVS, se l'esame preliminare, anteriore o posteriore a uno scambio di scritti, rileva che il ricorso al Tribunale amministrativo federale è inammissibile o manifestamente infondato, un giudice unico può, con motivazione sommaria, pronunciare la non entrata in materia o il rigetto. In concreto, questo Tribunale può quindi pronunciare, quale giudice unico, il rigetto del presente ricorso manifestamente infondato.</w:t>
      </w:r>
    </w:p>
    <w:p>
      <w:r>
        <w:rPr>
          <w:b/>
        </w:rPr>
        <w:t>E. 12.1</w:t>
      </w:r>
    </w:p>
    <w:p>
      <w:r>
        <w:t>Secondo l'art. 85bis cpv. 2 LAVS, la procedura è gratuita per le parti. Tuttavia, i costi possono essere accollati alla parte che procede in modo temerario o sconsiderato. Nella fattispecie, non si prelevano spese processuali.</w:t>
      </w:r>
    </w:p>
    <w:p>
      <w:r>
        <w:rPr>
          <w:b/>
        </w:rPr>
        <w:t>E. 12.2</w:t>
      </w:r>
    </w:p>
    <w:p>
      <w:r>
        <w:t>In conformità con l'art. 64 cpv. 1 PA, l'autorità di ricorso, se ammette il ricorso in tutto o in parte, può assegnare al ricorrente un'indennità per le spese indispensabili e relativamente elevate che ha sopportato (spese ripetibili).</w:t>
      </w:r>
    </w:p>
    <w:p>
      <w:r>
        <w:rPr>
          <w:b/>
        </w:rPr>
        <w:t>E. 12.3.1</w:t>
      </w:r>
    </w:p>
    <w:p>
      <w:r>
        <w:t>Visto l'esito della procedura, non si assegnano al ricorrente, peraltro non rappresentato, indennità per spese ripetibili.</w:t>
      </w:r>
    </w:p>
    <w:p>
      <w:r>
        <w:rPr>
          <w:b/>
        </w:rPr>
        <w:t>E. 12.3.2</w:t>
      </w:r>
    </w:p>
    <w:p>
      <w:r>
        <w:t>Per quanto concerne la CSC, le autorità federali non hanno diritto ad un'indennità a titolo di ripetibili (art. 7 cpv. 3 del Regolamento del 21 febbraio 2008 sulle tasse e sulle spese ripetibili nelle cause dinanzi al Tribunale amministrativo federale [TS-TAF, RS 173.320.2]).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