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C-695/2012 vom 16. Juli 2013</w:t>
      </w:r>
    </w:p>
    <w:p>
      <w:r>
        <w:t>Bundesverwaltungsgericht, 2013-07-16, DE</w:t>
      </w:r>
    </w:p>
    <w:p>
      <w:r>
        <w:rPr>
          <w:b/>
        </w:rPr>
        <w:t xml:space="preserve">Quelle: </w:t>
      </w:r>
      <w:r>
        <w:t>https://mcp.opencaselaw.ch/entscheid/bvger_C-695_2012</w:t>
      </w:r>
    </w:p>
    <w:p>
      <w:r>
        <w:t>FR: TAF C-695/2012 du 16 juillet 2013</w:t>
      </w:r>
    </w:p>
    <w:p>
      <w:r>
        <w:t>IT: TAF C-695/2012 del 16 luglio 2013</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Der angefochtene Einspracheentscheid der Vorinstanz vom 17. Januar 2012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und 32 des Bundesgesetzes über das Bundesverwaltungsgericht vom 17. Juni 2005 [Verwaltungsgerichtsgesetz, VGG, SR 172.32]). Zulässig sind Beschwerden gegen Verfügungen von Vorinstanzen gemäss Art. 33 VGG. Die SAK ist eine Vorinstanz im Sinn von Art. 33 Bst. d VGG (vgl. auch Art. 85bis Abs. 1 des Bundesgesetzes vom 20. Dezember 1976 über die Alters- und Hinterlassenenversicherung [AHVG; SR 831.10), und eine Ausnahme nach Art. 32 VGG liegt nicht vor. Das Bundesverwaltungsgericht ist daher zur Beurteilung der vorliegenden Beschwerde zuständig.</w:t>
      </w:r>
    </w:p>
    <w:p>
      <w:r>
        <w:rPr>
          <w:b/>
        </w:rPr>
        <w:t>E. 1.2</w:t>
      </w:r>
    </w:p>
    <w:p>
      <w:r>
        <w:t>Die Beschwerdeführerin ist die Mutter des volljährigen Sohnes C._______, welcher - soweit aus den Akten ersichtlich - während des Studiums von dieser unterstützt wurde und um dessen Waisenrente es vorliegend geht. Die Beschwerdeführerin ist deshalb durch den angefochtenen Entscheid besonders berührt und hat an dessen Aufhebung oder Änderung ein schutzwürdiges Interesse (Art. 48 Abs. 1 VwVG; vgl. auch Art. 59 des Bundesgesetzes vom 6. Oktober 2000 über den Allgemeinen Teil des Sozialversicherungsrechts [ATSG, SR 830.1]). Sie ist daher zur Beschwerde legitimiert, zumal sie unter den gegebenen Umständen ein unmittelbares und konkretes Interesse an der Aufhebung oder Änderung der Verfügung hat und eine spezifische, besonders nahe Beziehung zur Streitsache für sich in Anspruch nehmen kann (vgl. zum Erfordernis des schutzwürdigen Interesses bspw. BGE 133 V 188 E. 4.3.3). Da die Beschwerde auch frist- und formgerecht eingereicht worden ist (Art. 50 Abs. 1, Art. 52 Abs. 1 VwVG; vgl. auch Art. 60 ATSG), sind alle Prozessvoraussetzungen erfüllt, weshalb darauf einzutreten ist.</w:t>
      </w:r>
    </w:p>
    <w:p>
      <w:r>
        <w:rPr>
          <w:b/>
        </w:rPr>
        <w:t>E. 1.3</w:t>
      </w:r>
    </w:p>
    <w:p>
      <w:r>
        <w:t>Anfechtungsobjekt bildet der Einspracheentscheid der Vorinstanz vom 17. Januar 2012 (act. 104). Streitig und zu prüfen ist, ob die SAK die Waisenrente für den Sohn C._______ zu Recht eingestellt hat, weil dieser seine Ausbildung nicht mit dem ihm objektiv zumutbaren Einsatz betrieben hat, um sie innert nützlicher Frist erfolgreich hinter sich zu bringen.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Aufgrund eines Entscheids des Bundesrats vom 18. Dezember 2009 wird das mit dem früheren Jugoslawien abgeschlossene Abkommen über Sozialversicherung seit dem 1. April 2010 im Verhältnis zur Republik Kosovo nicht mehr angewendet. Leistungen, die bereits vor dem 1. April 2010 ausgerichtet wurden, werden jedoch grundsätzlich weitergewährt, auch wenn die betreffenden Personen im Ausland wohnen (sogenannte Besitzstandgarantie; vgl. Urteil des Bundesgerichts [BGer] 9C_662/2012 vom 19. Juni 2013 E. 6.2 und 8 mit Hinweisen; Mitteilungen des BSV Nr. 326 vom 20.02.2013). Da die vorliegend strittige Waisenrente vor dem 1. April 2010 verfügt wurde, ist vorliegend das schweizerisch-jugoslawische Sozialversicherungsab­kommen vom 8. Juni 1962 anwendbar. Nach Art. 2 dieses Abkom­mens stehen die Staatsangehörigen der Vertragsstaaten in ihren Rechten und Pflichten aus den in Art. 1 genannten Rechtsvorschriften, zu welchen die schweizerische Bundesgesetzgebung über die AHV gehört, einander gleich, soweit nichts anderes be­stimmt ist. Da vorliegend keine abweichenden Bestimmungen zur Anwendung ge­langen, bestimmt sich der Anspruch der Beschwerdeführerin auf Leis­tungen der schweizerischen AHV nach Schweizer Recht.</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Laut Art. 1 Abs. 1 AHVG sind die Bestimmungen des ATSG auf die im ersten Teil geregelte Alters- und Hinterlassenenversicherung anwendbar, soweit das AHVG nicht ausdrücklich eine Abweichung vom ATSG vorsieht. In materiellrechtlicher Hinsicht sind grundsätzlich diejeni­gen Rechtsvorschriften anwendbar, die bei Erfüllung des zu Rechtsfolgen führenden Sachverhalts Geltung haben (BGE 134 V 315 E. 1.2; BGE 130 V 329 E. 2.3).</w:t>
      </w:r>
    </w:p>
    <w:p>
      <w:r>
        <w:rPr>
          <w:b/>
        </w:rPr>
        <w:t>E. 2.3</w:t>
      </w:r>
    </w:p>
    <w:p>
      <w:r>
        <w:t>Laut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2.4</w:t>
      </w:r>
    </w:p>
    <w:p>
      <w:r>
        <w:t>Gemäss Rz. 184 der ab 1. Januar 1994 gültig gewesenen Wegleitung über die Renten in der Eidgenössischen AHV/IV (im Folgenden: RWL) gelten als in Ausbildung begriffene Waisen, die während einer bestimmten Zeit, mindestens während eines Monats, Schulen oder Kurse besuchen oder der beruflichen Ausbildung obliegen. Für eine systematische Berufsvorbereitung genügt es nicht, wenn eine Person rein formell die dafür vorgeschriebenen Schulen und Praktika absolviert. Sie hat vielmehr die Ausbildung mit dem ihr objektiv zumutbaren Einsatz zu beenden, um sie innert nützlicher Frist erfolgreich hinter sich zu bringen (Rz. 189 mit Hinweis auf ZAK 1978 S. 548).</w:t>
      </w:r>
    </w:p>
    <w:p>
      <w:r>
        <w:rPr>
          <w:b/>
        </w:rPr>
        <w:t>E. 2.5</w:t>
      </w:r>
    </w:p>
    <w:p>
      <w:r>
        <w:t>Der Bundesrat hat neu in Art. 49bis AHVV - welcher seit 1. Januar 2011 in Kraft ist und keine vorliegend relevanten Änderungen gegenüber der bis zum 31. Dezember 2010 gültig gewesenen Rechtslage brachte, sodass die bis zu diesem Zeitpunkt ergangene Rechtsprechung weiterhin massgebend ist (vgl. bspw. Urteil des Bundesverwaltungsgerichts [BVGer] C-1085/2011 vom 17. Oktober 2012 E. 4.1.1) -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neu in Art. 49ter AHVV (in Kraft seit 1. Januar 2011) geregelt, dass mit einem Berufs- oder Schulabschluss die Ausbildung beendet ist (Abs. 1). Die Ausbildung gilt auch als beendet, wenn sie abgebrochen oder unterbrochen wird oder wenn ein Anspruch auf eine Invalidenrente entsteht (Abs. 2).</w:t>
      </w:r>
    </w:p>
    <w:p>
      <w:r>
        <w:rPr>
          <w:b/>
        </w:rPr>
        <w:t>E. 2.6</w:t>
      </w:r>
    </w:p>
    <w:p>
      <w:r>
        <w:t>Die Wegleitung über die Renten in der Eidgenössischen Alters-, Hinterlassenen- und Invalidenversicherung (RWL) wurde per 1. Januar 2011 den neuen Regelungen in der AHVV angepasst und hält neu fest, die Ausbildung müsse mindestens 4 Wochen dauern und systematisch auf ein Bildungsziel ausgerichtet sein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vgl. UELI KIESER, Alter- und Hinterlassenenversicherung, Rechtsprechung des Bundesgerichts zum Sozialversicherungsrecht, Erwin Murer/Hans-Ulrich Stauffer [Hrsg.], Zürich/Basel/Genf 2005, 2. Aufl., Art. 25 Rz. 6 mit Hinweisen).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3</w:t>
      </w:r>
    </w:p>
    <w:p>
      <w:r>
        <w:t>Die Beschwerdeführerin machte am 7. Februar 2012 (Eingangsdatum) beschwerdeweise unter anderem geltend, es seien ihr für die Studienjahre 1999/2000 keine Renten ausbezahlt worden. Diese Behauptung trifft mit Blick auf die Dokumente, welche im Zusammenhang mit der vor-instanzlichen internen finanztechnischen Untersuchung erstellt wurden, nicht zu (act. 97). Es kann diesbezüglich auf die umfassenden und zutreffenden Ausführungen der Vorinstanz in deren Vernehmlassung vom 17. April 2012 verwiesen werden - diesen hat das Bundesverwaltungsgericht nichts weiter beizufügen. Es ist demnach ohne weiteres erstellt, dass die monatliche Rente für C._______ in der Höhe von jeweils Fr. 311.- in der Zeit zwischen Januar 1999 und Juni 2000 ausbezahlt wurde. Nachfolgend ist zu prüfen, ob die Waisenrente zu Recht per Ende Juni 2000 eingestellt worden war.</w:t>
      </w:r>
    </w:p>
    <w:p>
      <w:r>
        <w:rPr>
          <w:b/>
        </w:rPr>
        <w:t>E. 4.1.1</w:t>
      </w:r>
    </w:p>
    <w:p>
      <w:r>
        <w:t>Gemäss Bestätigung der rechtswissenschaftlichen Fakultät der Universität D._______ vom 2. Dezember 1999 befand sich C._______1999/2000 im ersten Studienjahr und absolvierte das erste und zweite Semester seines Studiums (act. 17 S. 1 und 2).</w:t>
      </w:r>
    </w:p>
    <w:p>
      <w:r>
        <w:rPr>
          <w:b/>
        </w:rPr>
        <w:t>E. 4.1.2</w:t>
      </w:r>
    </w:p>
    <w:p>
      <w:r>
        <w:t>Für das Studienjahr 2000/2001 liegen - wie von der Vorinstanz korrekt festgestellt - widersprüchliche Studienbestätigungen vor. Gemäss den Bestätigungen vom 30. Oktober 2001 (act. 38 S. 1 und 2) und 18. Januar 2002 (act. 41 S. 1 und 2) befand sich C._______ im zweiten Studienjahr, was aus den Angaben "Semestrin III/IV" hervorgeht. Auf denjenigen vom 5. November 2004 (act. 57 S. 2) und 3. Februar 2005 (act. 65 S. 3) hingegen wird ausgeführt, dass sich der Sohn der Beschwerdeführerin in den Semestern "I-II" befindet.</w:t>
      </w:r>
    </w:p>
    <w:p>
      <w:r>
        <w:rPr>
          <w:b/>
        </w:rPr>
        <w:t>E. 4.1.3</w:t>
      </w:r>
    </w:p>
    <w:p>
      <w:r>
        <w:t>Laut den Bestätigungen vom 5. Juli 2002 (act. 44 S. 1 und 2), 5. November 2004 (act. 57 S. 3) und 3. Februar 2005 (act. 60 S. 8) befand sich C._______ in den Jahren 2001/2002 ebenfalls in den Semestern III und IV.</w:t>
      </w:r>
    </w:p>
    <w:p>
      <w:r>
        <w:rPr>
          <w:b/>
        </w:rPr>
        <w:t>E. 4.1.4</w:t>
      </w:r>
    </w:p>
    <w:p>
      <w:r>
        <w:t>Gemäss weiteren Bestätigungen vom 17. Juli 2003 (act. 49 S. 5 und 6), 28. September 2004 (act. 54 S. 7) und 3. Februar 2005 (act. 60 S. 7) absolvierte C._______ in den Jahren 2002/2003 erneut das dritte und vierte Semester.</w:t>
      </w:r>
    </w:p>
    <w:p>
      <w:r>
        <w:rPr>
          <w:b/>
        </w:rPr>
        <w:t>E. 4.2.1</w:t>
      </w:r>
    </w:p>
    <w:p>
      <w:r>
        <w:t>Zwar besteht aufgrund der Studienbestätigungen vom 5. November 2004 und 3. Februar 2005 die Möglichkeit, dass C._______ im Studienjahr 2000/2001 das erste und zweite Semester des ersten Studienjahres 1999/2000 wiederholt hat. Die zahlreichen weiteren Bestätigungen lassen jedoch einen anderen Schluss zu:</w:t>
      </w:r>
    </w:p>
    <w:p>
      <w:r>
        <w:rPr>
          <w:b/>
        </w:rPr>
        <w:t>E. 4.2.2</w:t>
      </w:r>
    </w:p>
    <w:p>
      <w:r>
        <w:t>Gemäss den Bestätigungen vom 30. Oktober 2001 und 18. Januar 2002 ist mit überwiegender Wahrscheinlichkeit davon auszugehen, dass der Sohn der Beschwerdeführerin im Studienjahr 2000/2001 nicht das erste und zweite, sondern - im zweiten Studienjahr - erstmals das dritte und vierte Semester absolvierte. Dieses zweite Studienjahr resp. die Semester drei und vier wiederholte er im Studienjahr 2001/2002 das erste und im Studienjahr 2002/2003 das zweite Mal, was sich aus den Bestätigungen der Universität D._______ vom 5. Juli 2002, 5. November 2004, 3. Februar 2005, 17. Juli 2003, 28. September 2004 und 3. Februar 2005 ergibt. Die Angabe "III3/IV3" auf der Bestätigung vom 17. Juli 2003 betreffend das Studienjahr 2002/2003 lässt ohne weiteres darauf schliessen, dass sich C._______ auch noch im dritten Studienjahr die Semester drei und vier absolvierte resp. diese (erneut) wiederholte. Dafür sprechen schliesslich auch die beschwerdeweise eingereichten, undatierten Bestätigungen (act. 106 S. 7 bis 9).</w:t>
      </w:r>
    </w:p>
    <w:p>
      <w:r>
        <w:rPr>
          <w:b/>
        </w:rPr>
        <w:t>E. 4.3.1</w:t>
      </w:r>
    </w:p>
    <w:p>
      <w:r>
        <w:t>Wie von der Vorinstanz korrekt festgestellt, geht aus der Bestätigung der Universität D._______ vom 28. Februar 2001 hervor, dass C._______ im ersten Jahr seines Studiums (Studienjahr 1999/2000) in bloss zwei von insgesamt sieben Fächern Prüfungen abgelegt hatte (act. 25 S. 5).</w:t>
      </w:r>
    </w:p>
    <w:p>
      <w:r>
        <w:rPr>
          <w:b/>
        </w:rPr>
        <w:t>E. 4.3.2</w:t>
      </w:r>
    </w:p>
    <w:p>
      <w:r>
        <w:t>Laut einer weiteren Bescheinigung vom 27. November 2001 hatte C._______ von acht absolvierten Fächern des ersten Studienjahrs nur insgesamt deren vier bestanden - dies jedoch erst im Studienjahr 2001/2002 (act. 45 S. 3 und 4).</w:t>
      </w:r>
    </w:p>
    <w:p>
      <w:r>
        <w:rPr>
          <w:b/>
        </w:rPr>
        <w:t>E. 4.3.3</w:t>
      </w:r>
    </w:p>
    <w:p>
      <w:r>
        <w:t>Mit Blick auf diese Bestätigungen ist festzuhalten, dass C._______ von insgesamt (mindestens) sieben oder (höchstens) acht Fächern des ersten Studienjahres innerhalb der drei Studienjahre 1999/2000, 2000/2001 und 2001/2002 bloss acht Fächer besucht und lediglich Prüfungen in vier Fächern bestanden hatte. Mit anderen Worten absolvierte er den - für das erste Studienjahr vorgesehene - Studienstoff erst nach einer Zeitspanne von drei Studienjahren und lediglich im Umfang von höchstens 57 %.</w:t>
      </w:r>
    </w:p>
    <w:p>
      <w:r>
        <w:rPr>
          <w:b/>
        </w:rPr>
        <w:t>E. 4.4</w:t>
      </w:r>
    </w:p>
    <w:p>
      <w:r>
        <w:t>Aufgrund der vorstehenden Erwägungen ist zusammenfassend festzuhalten, dass die Beschwerdeführerin den Nachweis einer systematischen und mit zumutbarem Einsatz verfolgten Ausbildung ihres Sohnes C._______ ab dem 1. Juli 2000 (vgl. E. 3. hiervor) nicht erbracht hat. Die Verfügung der Vorinstanz, mit welcher die Kinderrente mangels Betreibens des Studiums mit dem objektiv zumutbaren Einsatz und der erforderlichen Systematik, um die Ausbildung innert nützlicher Frist erfolgreich abzuschliessen, per Ende Juni 2000 eingestellt worden ist, lässt sich unter diesen Umständen nicht beanstanden. Die dagegen erhobene Beschwerde ist demnach abzuweisen.</w:t>
      </w:r>
    </w:p>
    <w:p>
      <w:r>
        <w:rPr>
          <w:b/>
        </w:rPr>
        <w:t>E. 5</w:t>
      </w:r>
    </w:p>
    <w:p>
      <w:r>
        <w:t>Zu befinden bleibt noch über die Verfahrenskosten und eine allfällige Parteientschädigung.</w:t>
      </w:r>
    </w:p>
    <w:p>
      <w:r>
        <w:rPr>
          <w:b/>
        </w:rPr>
        <w:t>E. 5.1</w:t>
      </w:r>
    </w:p>
    <w:p>
      <w:r>
        <w:t>Das Beschwerdeverfahren ist für die Parteien kostenlos (Art. 85bis Abs. 2 AHVG), so dass keine Verfahrenskosten zu erheben sind.</w:t>
      </w:r>
    </w:p>
    <w:p>
      <w:r>
        <w:rPr>
          <w:b/>
        </w:rPr>
        <w:t>E. 5.2</w:t>
      </w:r>
    </w:p>
    <w:p>
      <w:r>
        <w:t>Bei diesem Ausgang des Verfahrens ist keine Parteientschädigung zuzusprechen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