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C-6958/2014 vom 8. Juni 2015</w:t>
      </w:r>
    </w:p>
    <w:p>
      <w:r>
        <w:t>Bundesverwaltungsgericht, 2015-06-08, DE</w:t>
      </w:r>
    </w:p>
    <w:p>
      <w:r>
        <w:rPr>
          <w:b/>
        </w:rPr>
        <w:t xml:space="preserve">Quelle: </w:t>
      </w:r>
      <w:r>
        <w:t>https://mcp.opencaselaw.ch/entscheid/bvger_C-6958_2014</w:t>
      </w:r>
    </w:p>
    <w:p>
      <w:r>
        <w:t>FR: TAF C-6958/2014 du 8 juin 2015</w:t>
      </w:r>
    </w:p>
    <w:p>
      <w:r>
        <w:t>IT: TAF C-6958/2014 del 8 giugno 2015</w:t>
      </w:r>
    </w:p>
    <w:p>
      <w:pPr>
        <w:pStyle w:val="Heading2"/>
      </w:pPr>
      <w:r>
        <w:t>Regeste</w:t>
      </w:r>
    </w:p>
    <w:p>
      <w:r>
        <w:t>Schengen-Visum</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das SEM, das mit der Abweisung der Einsprache betreffend Verweigerung eines Schengen-Visums eine Verfügung im erwähnten Sinne und daher ein zulässiges Anfechtungsobjekt erlassen hat. Eine Ausnahme nach Art. 32 VGG liegt nicht vor.</w:t>
      </w:r>
    </w:p>
    <w:p>
      <w:r>
        <w:rPr>
          <w:b/>
        </w:rPr>
        <w:t>E. 1.2</w:t>
      </w:r>
    </w:p>
    <w:p>
      <w:r>
        <w:t>Das Rechtsmittelverfahren richtet sich nach dem VwVG, soweit das VGG nichts anderes bestimmt (vgl. Art. 37 VGG).</w:t>
      </w:r>
    </w:p>
    <w:p>
      <w:r>
        <w:rPr>
          <w:b/>
        </w:rPr>
        <w:t>E. 1.3</w:t>
      </w:r>
    </w:p>
    <w:p>
      <w:r>
        <w:t>Der Beschwerdeführer ist gemäss Art. 48 Abs. 1 VwVG zur Beschwerde legitimiert. Auf seine frist- und formgerecht eingereichte Beschwerde ist einzutreten (vgl. Art. 50 und 52 VwG).</w:t>
      </w:r>
    </w:p>
    <w:p>
      <w:r>
        <w:rPr>
          <w:b/>
        </w:rPr>
        <w:t>E. 1.4</w:t>
      </w:r>
    </w:p>
    <w:p>
      <w:r>
        <w:t>Das Bundesverwaltungsgericht entscheidet in der vorliegenden Angelegenheit endgültig (Art. 83 Bst. c Ziff. 1 BGG).</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2014/1 E. 2 m.H.).</w:t>
      </w:r>
    </w:p>
    <w:p>
      <w:r>
        <w:rPr>
          <w:b/>
        </w:rPr>
        <w:t>E. 3</w:t>
      </w:r>
    </w:p>
    <w:p>
      <w:r>
        <w:t>Der angefochtenen Verfügung liegt das Gesuch einer indischen Staatsangehörigen um Erteilung eines Visums für einen 30-tägigen Aufenthalt in der Schweiz zugrunde. Da sich die Gesuchstellerin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(AuG, SR 142.20) und seine Ausführungsbestimmungen gelangen nur soweit zur Anwendung, als die Schengen-Assoziierungsabkommen keine abweichenden Bestimmungen enthalten (vgl. Art. 2 Abs. 2 - 5 AuG).</w:t>
      </w:r>
    </w:p>
    <w:p>
      <w:r>
        <w:rPr>
          <w:b/>
        </w:rPr>
        <w:t>E. 4</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Botschaft zum Bundesgesetz über Ausländerinnen und Ausländer vom 8. März 2002, BBl 2002 3774; BGE 135 II 1 E. 1.1).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jedoch auch das Schengen-Recht nicht (vgl. BVGE 2014/1 E. 4.1.5).</w:t>
      </w:r>
    </w:p>
    <w:p>
      <w:r>
        <w:rPr>
          <w:b/>
        </w:rPr>
        <w:t>E. 5.1</w:t>
      </w:r>
    </w:p>
    <w:p>
      <w:r>
        <w:t>Drittstaatsangehörige benötigen zur Einreise in die Schweiz bzw. den Schengen-Raum für einen Aufenthalt von höchstens 90 Tagen innerhalb eines Zeitraums von 180 Tagen gültige Reisedokumente, die zum Grenzübertritt berechtigen, und ein Visum, sofern dieses erforderlich ist. Im Weiteren müssen Drittstaatsangehörige den Zweck und die Umstände ihres beabsichtigten Aufenthalts belegen und hierfür über ausreichende finanzielle Mittel verfügen. Namentlich haben sie zu belegen, dass sie den Schengen-Raum vor Ablauf der Gültigkeitsdauer des beantragten Visums wieder verlassen bzw.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 den Einreisevoraussetzungen: Art. 5 Abs. 1 und Abs. 2 AuG; Art. 2 Abs. 1 der Verordnung vom 22. Oktober 2008 über die Einreise und die Visumserteilung [VEV, SR 142.204] i.V.m. Art. 5 Abs. 1 der Verordnung [EG] Nr. 562/2006 des Europäischen Parlaments und Rates vom 15. März 2006 über einen Gemeinschaftskodex für das Überschreiten der Grenzen durch Personen [nachfolgend: Schengener Grenzkodex bzw. SGK], ABl. L 105/1 vom 13.04.2006; Art. 14 Abs. 1 Bst. a c und Art. 21 Abs. 1 der Verordnung [EG] Nr. 810/2009 des Europäischen Parlaments und des Rates vom 13. Juli 2009 über einen Visakodex der Gemeinschaft [nachfolgend: Visakodex], ABl. L 243/1 vom 15.09.2009; vgl. zum Personenkreis: Art. 2 Ziff. 5 und Ziff. 6 SGK).</w:t>
      </w:r>
    </w:p>
    <w:p>
      <w:r>
        <w:rPr>
          <w:b/>
        </w:rPr>
        <w:t>E. 5.2</w:t>
      </w:r>
    </w:p>
    <w:p>
      <w:r>
        <w:t>Sind - abgesehen vom Visum selbst - die Voraussetzungen für die rechtmässige Einreise nicht erfüllt, darf ein für den gesamten Schengen-Raum geltendes "einheitliches Visum" nicht erteilt werden. Allerdings kann ein Mitgliedstaat in Ausnahmefällen ein sog. "Visum mit räumlich beschränkter Gültigkeit" erteilen, das nur für das Hoheitsgebiet des betreffenden Mitgliedstaats gilt. Unter anderem kann der betreffende Mitgliedstaat von dieser Möglichkeit Gebrauch machen, wenn er es aus humanitären Gründen, aus Gründen des nationalen Interesses oder aufgrund internationaler Verpflichtungen für erforderlich hält (vgl. Art. 25 Abs. 1 Bst. a Visakodex; ebenso Art. 5 Abs. 4 Bst. c SGK; BVGE 2011/48 E. 4.6).</w:t>
      </w:r>
    </w:p>
    <w:p>
      <w:r>
        <w:rPr>
          <w:b/>
        </w:rPr>
        <w:t>E. 5.3</w:t>
      </w:r>
    </w:p>
    <w:p>
      <w:r>
        <w:t>Anhang I zur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(ABl. L 81/1 vom 21.03.2001; zum vollständigen Quellennachweis vgl. Fussnote zu Art. 4 Abs. 1 VEV) zeigen diejenigen Staaten auf, deren Staatsangehörige beim Überschreiten der Aussengrenzen der Schengen-Mitgliedstaaten im Besitze eines Visums sein müssen. Da Indien in dieser Liste aufgeführt ist, unterliegt die Gesuchstellerin der Visumspflicht.</w:t>
      </w:r>
    </w:p>
    <w:p>
      <w:r>
        <w:rPr>
          <w:b/>
        </w:rPr>
        <w:t>E. 6.1</w:t>
      </w:r>
    </w:p>
    <w:p>
      <w:r>
        <w:t>Die Vorinstanz begründet die Abweisung der Einsprache im Wesentlichen damit, dass die Wiederausreise der Gesuchstellerin nicht gewährleistet sei. Bei der Beurteilung des Kriteriums der gesicherten Wiederausreise muss ein zukünftiges Verhalten beurteilt werden. Hierzu sind lediglich Prognosen möglich, wobei jedoch sämtliche Umstände des konkreten Einzelfalles zu würdigen sind. Dabei ist einerseits die allgemeine Lage im Herkunftsland und andererseits die individuelle Situation der gesuchstellenden Person in die Beurteilung mit einzubeziehen. Insbesondere ist die Ausstellung eines Visums zu verweigern, wenn der Aufenthaltszweck und die Umstände des geplanten Aufenthalts nicht genügend belegt wurden (Art. 32 Visakodex i.V. Art. 12 VEV).</w:t>
      </w:r>
    </w:p>
    <w:p>
      <w:r>
        <w:rPr>
          <w:b/>
        </w:rPr>
        <w:t>E. 6.2</w:t>
      </w:r>
    </w:p>
    <w:p>
      <w:r>
        <w:t>Indien gehört trotz abgeschwächtem Wirtschaftswachstum nach wie vor zu den aufstrebenden Schwellenländern und ist eine der am stärksten expandierenden Volkswirtschaften der Welt. Trotzdem sieht sich das Land bei der Armutsbekämpfung und in der Bildungs- und Infrastrukturentwicklung vor gewaltige Herausforderungen gestellt. Das durchschnittliche Pro-Kopf-Einkommen liegt bei unter 1000 Euro pro Jahr. Etwa 30 % der Bevölkerung lebt unterhalb der Armutsgrenze von 1 USD pro Kopf und Tag; weniger als 2 USD pro Tag zur Verfügung haben sogar 70 % der Bevölkerung (Quellen: Deutsches Auswärtiges Amt, www.auswaertiges-amt.de &gt; Reise &amp; Sicherheit Reise- und Sicherheitshinweise: Länder A Z &gt; In-dien &gt; Wirtschaft, Stand Mai 2015, abgerufen im Mai 2015). Allerdings zeigen sich erhebliche regionale Unterschiede. Ein zunehmendes Einkommensgefälle besteht nicht zuletzt zwischen der prosperierenden städtischen Mittelschicht einerseits, der überwiegend armen Bevölkerung auf dem Lande andererseits. Obwohl Haryana, wo die Gesuchstellerin lebt, zu den am stärksten industrialisierten Bundesstaaten Indiens zählt, sind auch dort noch 70 % der Bevölkerung in der Landwirtschaft tätig. Dennoch ist die Armutsrate in Haryana tiefer als im Landesdurchschnitt (vgl. Panagariya/Mukim, A Comprehensive Analysis of Poverty in India, in: Asian Development Review, Vol. 31 Nr. 1, S. 1 ff.).</w:t>
      </w:r>
    </w:p>
    <w:p>
      <w:r>
        <w:rPr>
          <w:b/>
        </w:rPr>
        <w:t>E. 6.3</w:t>
      </w:r>
    </w:p>
    <w:p>
      <w:r>
        <w:t>Angesichts der geschilderten Umstände ist nicht zu beanstanden, dass die Vorinstanz das Risiko einer nicht fristgerechten Wiederausreise von Besucherinnen und Besuchern aus Indien allgemein als hoch einschätzt, insbesondere, wenn durch die Anwesenheit von Bekannten oder Verwandten bereits ein minimales soziales Beziehungsnetz besteht. Dass die Gesuchstellerin aus einem Bundesstaat mit über dem Landesdurchschnitt liegenden Kennziffern stammt, vermag an dieser Einschätzung nichts zu ändern, besteht doch immer noch ein deutliches Wohlstandsgefälle zwischen Haryana und der Schweiz.</w:t>
      </w:r>
    </w:p>
    <w:p>
      <w:r>
        <w:rPr>
          <w:b/>
        </w:rPr>
        <w:t>E. 6.4</w:t>
      </w:r>
    </w:p>
    <w:p>
      <w:r>
        <w:t>Bei der Risikoanalyse sind allerdings nicht nur solch allgemeine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Andererseits muss bei Personen, die in ihrer Heimat keine besonderen Verpflichtungen haben, das Risiko eines ausländerrechtlich nicht regelkonformen Verhaltens nach einer bewilligten Einreise als hoch eingeschätzt werden.</w:t>
      </w:r>
    </w:p>
    <w:p>
      <w:r>
        <w:rPr>
          <w:b/>
        </w:rPr>
        <w:t>E. 6.5</w:t>
      </w:r>
    </w:p>
    <w:p>
      <w:r>
        <w:t>Bei der Gesuchstellerin handelt es sich um eine inzwischen 57-jährige, verwitwete Mutter. Ihr Ehemann ist laut Angaben des Beschwerdeführers im Dezember 2013 verstorben. Gemäss den Erkenntnissen der Schweizerischen Botschaft in New Delhi hat sie je zwei Söhne und Töchter, die im Erwachsenenalter stehen. Die beiden Töchter leben in Indien, einer der Söhne wohnt seit 2008 in der Schweiz. Der andere Sohn soll sich um ein Visum für Australien bemüht haben. Ansonsten kann den Akten in dieser Hinsicht einzig entnommen werden, dass die eingeladene Person u.a. bei der Beaufsichtigung und Erziehung von insgesamt drei Enkelkindern mithelfe. Insoweit besteht ein gewisser familiärer Bezug zum Heimatland. Ihre familiären Verpflichtungen können zumindest unter den aktuellen Gegebenheiten jedoch nicht als so gewichtig eingestuft werden, dass sie die Prognose für eine anstandslose und fristgerechte Wiederausreise zu begünstigen vermöchten. Kommt hinzu, dass sich einer ihrer Söhne - der Gastgeber - mit seiner Gattin dauerhaft hierzulande niedergelassen hat (der Beschwerdeführer ist im Besitze einer Niederlassungsbewilligung). Wie an anderer Stelle dargetan (siehe E. 6.3 weiter vorne), wird die Tendenz zur Immigration erfahrungsgemäss dort noch begünstigt, wo - wie in casu - durch die Anwesenheit naher Familienangehöriger bereits ein minimales soziales Beziehungsnetz vorhanden ist. Auf dieser Grundlage erscheint die Wiederausreise der Gesuchstellerin derzeit als nicht als hinreichend gesichert.</w:t>
      </w:r>
    </w:p>
    <w:p>
      <w:r>
        <w:rPr>
          <w:b/>
        </w:rPr>
        <w:t>E. 6.6</w:t>
      </w:r>
    </w:p>
    <w:p>
      <w:r>
        <w:t>Anders verhielte es sich allenfalls bei einer massgeblichen wirtschaftlichen Verankerung in Indien. Was die beruflichen und finanziellen Verhältnisse der Eingeladenen anbelangt, bleibt indessen vieles unklar, zu wenig belegt oder gänzlich im Dunkeln. So bezeichnete die Gesuchstellerin sich selber im Visumsgesuch vom 25. Juli 2014 als Hausfrau. Auf dem am 29. September 2014 ausgefüllten Fragebogen der EMF der Stadt Bern zum Einreisegesuch gibt der Beschwerdeführer derweil an, seine Mutter sei Bäuerin und werde dieser Tätigkeit nach der Rückkehr in ihre Heimat weiterhin nachgehen. In der Beschwerdeschrift vom 27. November 2014 schliesslich ist davon die Rede, die Gesuchstellerin bewirtschafte als Bäuerin das zu ihrem Haus gehörige Stück Land und sei daneben als Hausfrau tätig. Abgesehen von den beschriebenen Unklarheiten ist auch über etwaige Einkünfte nichts bekannt. Gleiches gilt hinsichtlich der Eigentumsverhältnisse am bewirtschafteten Grundstück sowie am Haus, das sie nach Darstellung des Parteivertreters bewohnt. Die sich in den vorinstanzlichen Akten befindliche Kopie eines Kontoauszuges der "State Bank of Patiala" erlaubt ebenfalls keine aussagekräftigen Schlüsse zur wirtschaftlichen Situation der eingeladenen Person. Diese Erwägungen zeigen, dass nicht nur die familiäre sondern auch die berufliche Situation der Gesuchstellerin nicht geeignet ist, die aufgrund der allgemeinen Lage in Haryana bzw. Indien negativ ausgefallene Prognose bezüglich der fristgerechten Ausreise zu ihren Gunsten zu beeinflussen.</w:t>
      </w:r>
    </w:p>
    <w:p>
      <w:r>
        <w:rPr>
          <w:b/>
        </w:rPr>
        <w:t>E. 6.7</w:t>
      </w:r>
    </w:p>
    <w:p>
      <w:r>
        <w:t>An der Richtigkeit dieser Einschätzung ändert auch die Tatsache nichts, dass der Beschwerdeführer über einen guten Leumund verfügt und er seine eigenen finanziellen Verhältnisse in ausreichendem Masse dargelegt hat. Die Integrität des Beschwerdeführers in seiner Eigenschaft als Gastgeber wird denn in keiner Weise in Zweifel gezogen. Indessen sind bei der Abwägung des Risikos einer nicht fristgerechten Wiederausreise nicht so sehr die Einstellung und die Absichten des Gastgebers, sondern in erster Linie das mögliche Verhalten der eingeladenen Person selbst von Bedeutung. Nur Letztere ist in der Lage, hinreichend Gewähr für eine fristgerechte und anstandslose Wiederausreise zu bieten. Der Gastgeber kann - mangels rechtlicher und faktischer Durchsetzbarkeit - denn nicht für ein bestimmtes Verhalten des Gastes Garantie leisten (zum Ganzen siehe BVGE 2009/27 E. 9). Vor diesem Hintergrund ist auch das Vorbringen unbehelflich, die Gesuchstellerin sei bereit, ihren (bis 2023 gültigen) Reisepass während ihrer Anwesenheit hierzulande bei einer Behörde zu deponieren.</w:t>
      </w:r>
    </w:p>
    <w:p>
      <w:r>
        <w:rPr>
          <w:b/>
        </w:rPr>
        <w:t>E. 6.8</w:t>
      </w:r>
    </w:p>
    <w:p>
      <w:r>
        <w:t>Mit der fehlenden Gewähr für eine anstandslose Wiederausreise ist eine unabdingbare Voraussetzung zur Erteilung eines Schengen-Visums nicht erfüllt. Gründe für die Ausstellung eines Visums mit räumlich beschränkter Gültigkeit (vgl. dazu E. 5.2 hiervor) liegen keine vor.</w:t>
      </w:r>
    </w:p>
    <w:p>
      <w:r>
        <w:rPr>
          <w:b/>
        </w:rPr>
        <w:t>E. 7</w:t>
      </w:r>
    </w:p>
    <w:p>
      <w:r>
        <w:t>Aus den vorstehenden Erwägungen folgt, dass die angefochtene Verfügung im Lichte von Art. 49 VwVG nicht zu beanstanden ist.</w:t>
      </w:r>
    </w:p>
    <w:p>
      <w:r>
        <w:rPr>
          <w:b/>
        </w:rPr>
        <w:t>E. 8</w:t>
      </w:r>
    </w:p>
    <w:p>
      <w:r>
        <w:t>Entsprechend dem Ausgang des Verfahrens sind die Kosten dem Beschwerdeführer aufzuerlegen (vgl. Art. 63 Abs. 1 VwVG i.V.m. Art. 1 ff. des Reglements vom 21. Februar 2008 über die Kosten und Entschädigungen vor dem Bundesverwaltungsgericht [VGKE, SR 173.320.2]). Dispositiv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