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C-6950/2009 vom 9. Juni 2011</w:t>
      </w:r>
    </w:p>
    <w:p>
      <w:r>
        <w:t>Bundesverwaltungsgericht, 2011-06-09, FR</w:t>
      </w:r>
    </w:p>
    <w:p>
      <w:r>
        <w:rPr>
          <w:b/>
        </w:rPr>
        <w:t xml:space="preserve">Quelle: </w:t>
      </w:r>
      <w:r>
        <w:t>https://mcp.opencaselaw.ch/entscheid/bvger_C-6950_2009</w:t>
      </w:r>
    </w:p>
    <w:p>
      <w:r>
        <w:t>FR: TAF C-6950/2009 du 9 juin 2011</w:t>
      </w:r>
    </w:p>
    <w:p>
      <w:r>
        <w:t>IT: TAF C-6950/2009 del 9 giugno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ce qui motive qu'il y soit fait également référence. Selon les directives transitoires de la Ve révision de la LAI (cf. Office fédéral des assurances sociales (OFAS), La 5e révision de l'AI et le droit transitoire, Lettre circulaire n° 253 du 12 décembre 2007) si l'incapacité de travail a débuté après le 1er janvier 2007 la rente peut être versée après un délai d'attente d'une année à condition que la demande de rente ait été présentée jusqu'au 31 décembre 2008.</w:t>
      </w:r>
    </w:p>
    <w:p>
      <w:r>
        <w:rPr>
          <w:b/>
        </w:rPr>
        <w:t>E. 4</w:t>
      </w:r>
    </w:p>
    <w:p>
      <w:r>
        <w:t>L'intéressée a déposé sa demande de rente le 4 septembre 2008. En dérogation à l'art. 24 LPGA, l'art. 48 al. 2 LAI en vigueur jusqu'au 31 décembre 2007 prévoyait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4 septembre 2007 ou si le droit à une rente était né entre cette dernière date et le 6 octobre 2009, date de la décision attaquée marquant la limite dans le temps du pouvoir d'examen de l'autorité de recours (ATF 129 V 1 consid. 2.1 et ATF 121 V 362 consid. 1b).</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ans au total (pce 9)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au moins et à une rente entière s'il est invalide à 70 %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en vigueur jusqu'au 31 décembre 2007, le droit à une rente naît dès que l'assuré présente une incapacité durable de 40 % au moins (lettre a) ou dès qu'il a présenté, en moyenne, une incapacité de travail de 40 %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8.1</w:t>
      </w:r>
    </w:p>
    <w:p>
      <w:r>
        <w:t>La recourante a travaillé en Suisse à partir de 1987 en qualité de sommelière pour un salaire mensuel de Fr. 4'485.--, a cessé toute activité le 30 octobre 2006 pour raison de maladie et a été licenciée pour le 30 juin 2007. Jusqu'à la date du 30 octobre 2006, le Tribunal peut donc conclure que la recourante n'a pas subi d'invalidité au sens de la législation suisse.</w:t>
      </w:r>
    </w:p>
    <w:p>
      <w:r>
        <w:rPr>
          <w:b/>
        </w:rPr>
        <w:t>E. 8.2</w:t>
      </w:r>
    </w:p>
    <w:p>
      <w:r>
        <w:t>Pour la période successive, en l'absence de données économiques,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114 V 310 consid. 3c; arrêt du Tribunal fédéral I 599/04 du 28 juillet 2005 consid. 1.2).</w:t>
      </w:r>
    </w:p>
    <w:p>
      <w:r>
        <w:rPr>
          <w:b/>
        </w:rPr>
        <w:t>E. 9.1</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w:t>
      </w:r>
    </w:p>
    <w:p>
      <w:r>
        <w:rPr>
          <w:b/>
        </w:rPr>
        <w:t>E. 9.2</w:t>
      </w:r>
    </w:p>
    <w:p>
      <w:r>
        <w:t>Le Tribunal fédéral s'est exprimé sur les conditions auxquelles des troubles somatoformes douloureux persistants peuvent présenter un caractère invalidant (ATF 130 V 352; Arrêt du Tribunal fédéral I 870/02 du 21 avril 2004 consid. 3.3.1 et I 515/03 du 15 septembre 2004 consid. 3.3.1 et 3.3.2 et les références citées; voir ég. Jean Pirrotta, Les troubles somatoformes douloureux du point de vue de l'assurance-invalidité in: Revue suisse des assurances sociales et de la prévoyance professionnelle [RSAS] 2005 p. 517, 523 ss). Il s'agit d'une affection reconnue par l'Organisation mondiale de la santé sous le nom de « syndrome douloureux somatoforme persistant », caractérisée par «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 (OMS, CIM-10: F45.4). Le trouble somatoforme douloureux se définit en termes de discrépance entre la subjectivité du patient qui éprouve une douleur préoccupante et l'objectivité médicale qui ne permet pas de détecter ce que l'on s'attend à trouver en pareil cas sur la base des savoirs acquis et des techniques à disposition permettant de mesurer et objectiver les symptômes (cf. Pirrotta, op. cit., p. 524).</w:t>
      </w:r>
    </w:p>
    <w:p>
      <w:r>
        <w:rPr>
          <w:b/>
        </w:rPr>
        <w:t>E. 9.3</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9.4</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10.1</w:t>
      </w:r>
    </w:p>
    <w:p>
      <w:r>
        <w:t>En l'espèce, l'intéressée est suivie médicalement pour de multiples pathologies dont la fibromyalgie. L'ensemble des pathologies et des diagnostics établis par les médecins traitants ont été reportés dans le rapport d'expertise des Drs O._______ et P._______ du BREM. Les derniers rapports médicaux produits par la recourante récapitulent également l'ensemble des atteintes dont elle souffre sans faire état de la présence d'autres pathologies. En l'occurrence, il est établi par les médecins traitants, les experts du BREM et les médecins du SMR que la recourante souffre d'une spondylarthrose étagée sans myélopathie ni radiculopathie (ICM M 47.8), d'une périarthrite scapulo-humérale (PSH) bilatérale, d'un status après ablation d'une calcification à gauche en 2006 (ICM M 75.0), d'un syndrome douloureux somatoforme persistant (ICM F 45.4), d'une hyperprolactinémie modérée non adénomateuse, stabilisée, l'absence de galactorrhée actuelle, diagnostiquée en 2006, agénésie du rein gauche connue, de troubles digestifs fonctionnels associés à un asynchronisme abdomino-pelvien, d'un status après correction chirurgicale d'un utérus bicorne dans sa jeunesse et d'un status après sinusite maxillaire gauche (2005).</w:t>
      </w:r>
    </w:p>
    <w:p>
      <w:r>
        <w:rPr>
          <w:b/>
        </w:rPr>
        <w:t>E. 10.2</w:t>
      </w:r>
    </w:p>
    <w:p>
      <w:r>
        <w:t>Eu égard au fait qu'il n'y a pas eu un état de santé stabilisé, la let. a de l'art. 29 al. 1 LAI en vigueur jusqu'au 31 décembre 2007 est inapplicable; seule peut entrer en considération la let. b de cette disposition légale prévoyant en principe une période d'attente d'une année à partir du début de l'incapacité de travail déterminante pour le début du droit à la rente.</w:t>
      </w:r>
    </w:p>
    <w:p>
      <w:r>
        <w:rPr>
          <w:b/>
        </w:rPr>
        <w:t>E. 11.1</w:t>
      </w:r>
    </w:p>
    <w:p>
      <w:r>
        <w:t>Du point de vue psychiatrique, lors de l'expertise effectuée en avril 2007, le Dr G._______ constatait effectivement la présence d'une fibromyalgie floride mais l'absence d'éléments psychopathologiques ayant valeur de maladie, en particulier pas d'état dépressif et a considéré que la recourante aurait pu reprendre son activité dans les 15 jours sans limitations particulières ou une autre activité en position assise ou assise alternée dans une profession sédentaire.</w:t>
      </w:r>
    </w:p>
    <w:p>
      <w:r>
        <w:rPr>
          <w:b/>
        </w:rPr>
        <w:t>E. 11.2</w:t>
      </w:r>
    </w:p>
    <w:p>
      <w:r>
        <w:t>C'est au mois de juillet 2007 que les Drs F._______, H._______ et I._______, médecins traitants, ont diagnostiqué pour la première fois le syndrome dépressif majeur qui serait lié à la reconnaissance de l'aptitude à travailler de la recourante. En juin 2008, sur demande de la SWICA, la recourante a donc été examinée par le Dr M._______, spécialiste FMH en psychiatrie et psychothérapie. Sur la base de l'examen clinique et du résultat des tests psychométriques, le Dr M._______ retient un trouble de l'humeur persistant et un syndrome somatoforme douloureux persistant. Les constatations cliniques et les tests pratiques traduisent la présence d'un trouble de l'humeur venant se rajouter à une symptomatologie douloureuse, l'évaluation objective est toutefois en contradiction avec les résultats de ces tests qui donnent des valeurs extrêmement élevées (la cotation traduirait une dépression mélancolique sévère) mais qui ne reflètent pas la réalité clinique. Compte tenu de la symptomatologie dépressive objectivée d'une intensité moyenne à sévère, ce médecin considère un arrêt de travail à 100 % justifié et parait sceptique face à une reprise potentielle vu les 20 mois d'arrêt et la pathologie en cours à fort potentiel d'évolution vers l'invalidation. Répondant à des questions précises, il considère que la recourante présente un syndrome somatoforme douloureux sans perte d'intégration sociale, avec une durée d'évolution trop courte pour retenir que son état psychique s'est cristallisé et relève l'échec des multiples traitements prodigués. Néanmoins, il préconise une intervention rapide de l'AI dans le sens d'une réadaptation professionnelle. Le médecin du SMR, estimant que les rapports de ces médecins ne permettaient pas d'évaluer le cas de la recourante selon les critères de la jurisprudence, a demandé à ce qu'une expertise soit effectuée. Lors de l'expertise du 16 mars 2009, le Dr P._______, psychiatre, après analyse complète des documents du dossier, a relevé que la recourante présentait quelques symptômes de type dépressif mais d'une sévérité insuffisante pour constituer des troubles majeurs de la lignée dépressive. Il n'y a pas de troubles majeurs de la personnalité, elle présente une personnalité un peu fragile vraisemblablement de structure psychotique, compensée, pas de troubles anxieux majeurs, pas d'attaques de panique ni de symptômes évocateurs d'un état de stress post-traumatique ou d'un trouble affectif, pas de délires, pas d'hallucination ou autres symptômes psychotiques. Ce psychiatre a noté une importante discordance (qui avait déjà été relevée par le Dr M._______) entre les plaintes et les symptômes que l'assurée dit présenter et le tableau clinique observé lors de l'entretien psychiatrique notamment parce qu'elle a fait montre d'une combativité certaine s'agissant de défendre ses droits et ses attentes vis-à-vis des assurances. Il a retenu le diagnostic de dysthymie (proche du trouble de l'humeur persistant retenu par le Dr M._______) en raison de la présence de stress dépressif mais pas d'intensité suffisante pour répondre aux critères d'un trouble dépressif récurrent léger. Il a précisé qu'il n'y avait pas de comorbidité psychiatrique de durée et d'acuité suffisamment importante pour être incapacitante, que l'état psychique n'est pas cristallisé, qu'il n'y a pas de perte d'intégration sociale dans toutes les manifestations de la vie et que les traitements ont amené à une amélioration de la symptomatologie avec pour conséquence un espacement du suivi psychiatrique. Il a encore noté que l'assurée présente d'indéniables ressources psychiques, une réactivité certaine pour défendre son cas avec beaucoup d'énergie, qu'elle ne présente pas de pathologie psychiatrique grave et incapacitante et que par conséquent qu'il n'y a pas de limitations psychiatriques objectivées et la capacité de travail, du point de vue psychiatrique, doit être évaluée à 100 % pour tous types d'activité. Il met toutefois en exergue la contradiction existant dans les conclusions du Dr M._______ qui d'une part estime que la symptomatologie dépressive et anxieuse justifie un arrêt de travail à 100 % mais d'autre part estime la recourante apte à bénéficier rapidement d'une réadaptation professionnelle.</w:t>
      </w:r>
    </w:p>
    <w:p>
      <w:r>
        <w:rPr>
          <w:b/>
        </w:rPr>
        <w:t>E. 11.3</w:t>
      </w:r>
    </w:p>
    <w:p>
      <w:r>
        <w:t>La recourante a argué à plusieurs reprises que l'expert psychiatre est incapable d'évaluer son cas car il n'était pas à son écoute lors de l'entretien. 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5.6 et 5.7).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 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ainsi seraient suffisamment pertinents pour en remettre en cause le bien-fondé ou en établir le caractère incomplet (arrêt du TF 9C_509/2010 du 4 février 2011, consid. 5.1). En l'espèce, le Dr P._______ s'est basé sur une anamnèse complète et sur des examens circonstanciés, il dresse un tableau global cohérent et motive dûment ses conclusions, en particulier en ce qui concerne les contradictions inhérentes à l'expertise du Dr M._______. Le Dr P._______, notamment dans la première partie de l'expertise, a cité l'ensemble des avis médicaux se trouvant au dossier (y compris diagnostics et conclusions) dont il a ensuite tenu compte dans son appréciation. Cette manière de procéder a permis de dresser le contexte médical et d'évaluer la situation médicale de la recourante de façon satisfaisante. En évoquant, l'existence d'activité (promener la chienne, le canevas), de vie sociale et familiale (passer du temps le soir avec l'époux), l'expert a émis des considérations utiles pour se prononcer sur le fonctionnement psycho-social de l'intéressée et évaluer la gravité de son atteinte psychique. Il convient donc de reconnaître à ce document, conformément à la jurisprudence, pleine valeur probante.</w:t>
      </w:r>
    </w:p>
    <w:p>
      <w:r>
        <w:rPr>
          <w:b/>
        </w:rPr>
        <w:t>E. 11.4</w:t>
      </w:r>
    </w:p>
    <w:p>
      <w:r>
        <w:t>A la suite de cette expertise, la recourante a transmis une série d'avis de ses médecins traitants qui posent les diagnostics d'état dépressif chronique depuis 2007, de dépression sévère, de syndrome dépressif majeur entraînant une comorbidité psychiatrique, de syndrome dépressif sévère, de dépression et d'état dépressif majeur réactionnel à une pathologie somatique lourde. Le Tribunal note en premier lieu que seuls la Dresse Q._______ et le Dr T._______ sont des psychiatres et donc à même d'évaluer la situation psychiatrique de la recourante. Or ces deux médecins, dans leurs certificats des 11 juin, 23 octobre 2009 et 24 février 2011, ne font état que du diagnostic déjà connu sans référence à aucun examen objectif ou test spécifique. Ainsi le Tribunal constate, comme l'a justement relevé le médecin du SMR dans son rapport du 5 janvier 2009 (recte 2010), que la dépression sévère qui existait depuis 3 ans n'aurait pas pu échapper à l'expert psychiatre du BREM. Cette expertise psychiatrique effectuée dans les règles de l'art a mis en évidence que la recourante ne souffrait que de dysthymie laquelle n'engendrait aucune incapacité de travail. La Cours de céans ne voit pas de raison de s'écarter de ses conclusions puisqu'aucun autre rapport médical d'un psychiatre n'a remis en cause, par des examens objectifs et une analyse de la comorbidité psychiatrique, les conclusions de l'expert du BREM et peut donc retenir que d'un point de vue psychiatrique, au moins jusqu'à la date de la décision attaquée, la recourante a une pleine capacité de travail.</w:t>
      </w:r>
    </w:p>
    <w:p>
      <w:r>
        <w:rPr>
          <w:b/>
        </w:rPr>
        <w:t>E. 12.1</w:t>
      </w:r>
    </w:p>
    <w:p>
      <w:r>
        <w:t>Du point de vue somatique, il n'a pas été remis en cause, ni par la recourante, ni par ses médecins traitants ni par l'expert du BREM et les médecins SMR, que la recourante souffre d'une fibromyalgie ou trouble somatoforme douloureux.</w:t>
      </w:r>
    </w:p>
    <w:p>
      <w:r>
        <w:rPr>
          <w:b/>
        </w:rPr>
        <w:t>E. 12.2</w:t>
      </w:r>
    </w:p>
    <w:p>
      <w:r>
        <w:t>Le Dr G._______ relevait dans son expertise du 27 avril 2007 que l'examen neurologique était dans les limites de la norme tant au niveau des nerfs crâniens, des membres supérieurs que des membres inférieurs. Les articulations périphériques ne montraient pas d'anomalies spécifiques et le dos, au niveau cervical ne révélait de contracture de la musculature spinale, ses rotations s'avéraient discrètement réduites avec des douleurs à la friction étagées des articulations postérieures. Au niveau dorso-lombaire, le dos était affecté par une discrète hyperlordose lombaire, la mobilité était conservée et indolore dans tous les axes de l'espace. En l'absence d'une comorbidité psychiatrique, il considérait la recourante apte à reprendre le travail.</w:t>
      </w:r>
    </w:p>
    <w:p>
      <w:r>
        <w:rPr>
          <w:b/>
        </w:rPr>
        <w:t>E. 12.3</w:t>
      </w:r>
    </w:p>
    <w:p>
      <w:r>
        <w:t>Dans l'expertise du 6 mars 2009, la Dresse O._______, rhumatologue, a notamment posé les diagnostics de spondylarthrose étagée sans myélopathie ni radiculopathie, de PSH bilatérale, de status après une ablation d'une calcification à gauche en 2006, de syndrome douloureux somatoforme persistant et de pathologie dégénérative rachidienne sous-acromiale. Elle observe une mobilité cervicale normale, un déroulement dorsolombaire à une distance doigt-sol de 5 cm, un examen des membres supérieurs normal lorsqu'on examine par distractibilité. Au plan passif, il existe d'importantes contre-pulsions, des mouvements peu coordonnés de contre-résistance, de sursauts qui parasitent l'examen, ainsi que des secousses violentes. Aux membres inférieurs il n'y pas de limitations des amplitudes articulaires. A l'examen neurologique, il n'y a pas de déficits sensitifs, au testing de la force, nombreux lâchages non systématisés contrastant avec l'observation de contre-pulsions des mêmes groupes musculaires, pas de tremor, gestuelle spontanée, vive, fluide et harmonieuse. Cette experte a relevé qu'en tant que sommelière, ces pathologies justifient une réduction partielle de l'activité antérieure à 80 % mais qu'aucune limitation ne devait être retenue au plan des activités ménagères. Elle a fixé des limitations sur le plan physique en prescrivant d'éviter les charges répétitives de plus de 15 kg et occasionnelles de plus de 25 kg et les activités en hauteur pour les membres supérieurs et en recommandant les activités permettant des périodes de repos avec alternance des positions. Suite à cette expertise, la recourante n'a transmis que des avis médicaux se prononçant sur la répercussion de son état psychique sur sa capacité de travail. Seul le Dr H._______, dans son rapport du 4 mars 2010, a indiqué que du point de vue de la fibromyalgie, les douleurs sont constantes de jours comme de nuit et que l'impotence fonctionnelle qui en résulte est très importante.</w:t>
      </w:r>
    </w:p>
    <w:p>
      <w:r>
        <w:rPr>
          <w:b/>
        </w:rPr>
        <w:t>E. 13.1</w:t>
      </w:r>
    </w:p>
    <w:p>
      <w:r>
        <w:t>Au vu de ce qui précède, la Cours de céans peut donc retenir que les conclusions du BREM ne prêtent le flanc au doute et sont motivées à satisfaction de droit. L'expertise repose indubitablement sur une étude complète et circonstanciée de la situation médicale de la recourante et ne contient aucune incohérence manifeste et il n'y a partant aucune raison de ne pas y accorder foi. Il convient dès lors de conclure que la recourante présente une capacité de travail dans son activité habituelle de 80 % dès février 2008 en raison des troubles dégénératifs au niveau du rachis cervical et à l'épaule gauche et, depuis toujours, une pleine capacité de travail dans une activité de substitution.</w:t>
      </w:r>
    </w:p>
    <w:p>
      <w:r>
        <w:rPr>
          <w:b/>
        </w:rPr>
        <w:t>E. 13.2</w:t>
      </w:r>
    </w:p>
    <w:p>
      <w:r>
        <w:t>Un examen de la capacité résiduelle dans des activités de substitution et une comparaison de revenu ne se justifient pas du fait d'une incapacité de travail dans l'activité précédemment exercée qui ne dépasse pas les 20 %.</w:t>
      </w:r>
    </w:p>
    <w:p>
      <w:r>
        <w:rPr>
          <w:b/>
        </w:rPr>
        <w:t>E. 14</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la recourante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voie de conséquence, le recours du 6 novembre 2009 doit être rejeté et la décision du 6 octobre 2009 confirmée.</w:t>
      </w:r>
    </w:p>
    <w:p>
      <w:r>
        <w:rPr>
          <w:b/>
        </w:rPr>
        <w:t>E. 15.1</w:t>
      </w:r>
    </w:p>
    <w:p>
      <w:r>
        <w:t>Vu l'issue de la procédure, les frais de celles-ci, fixés à Fr. 300.-- sont mis à la charge de la recourante (art. 63 al. 1 PA applicable par le truchement de l'art. 37 LTAF). Ils sont compensés par l'avance de frais dont elle s'est acquittée au cours de l'instruction.</w:t>
      </w:r>
    </w:p>
    <w:p>
      <w:r>
        <w:rPr>
          <w:b/>
        </w:rPr>
        <w:t>E. 15.2</w:t>
      </w:r>
    </w:p>
    <w:p>
      <w:r>
        <w:t>Vu l'issue du litige, il n'est pas alloué de dépens (art. 7 al. 1 du règlement du 21 février 2008 concernant les frais, dépens et indemnités fixés par le Tribunal administratif fédéral [FITAF, RS 173.320.2)]. (dispositif à la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