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C-6950/2007 vom 7. November 2008</w:t>
      </w:r>
    </w:p>
    <w:p>
      <w:r>
        <w:t>Bundesverwaltungsgericht, 2008-11-07, DE</w:t>
      </w:r>
    </w:p>
    <w:p>
      <w:r>
        <w:rPr>
          <w:b/>
        </w:rPr>
        <w:t xml:space="preserve">Quelle: </w:t>
      </w:r>
      <w:r>
        <w:t>https://mcp.opencaselaw.ch/entscheid/bvger_C-6950_2007</w:t>
      </w:r>
    </w:p>
    <w:p>
      <w:r>
        <w:t>FR: TAF C-6950/2007 du 7 novembre 2008</w:t>
      </w:r>
    </w:p>
    <w:p>
      <w:r>
        <w:t>IT: TAF C-6950/2007 del 7 novembre 2008</w:t>
      </w:r>
    </w:p>
    <w:p>
      <w:pPr>
        <w:pStyle w:val="Heading2"/>
      </w:pPr>
      <w:r>
        <w:t>Regeste</w:t>
      </w:r>
    </w:p>
    <w:p>
      <w:r>
        <w:t>Einreise</w:t>
      </w:r>
    </w:p>
    <w:p>
      <w:pPr>
        <w:pStyle w:val="Heading2"/>
      </w:pPr>
      <w:r>
        <w:t>Erwägungen</w:t>
      </w:r>
    </w:p>
    <w:p>
      <w:r>
        <w:rPr>
          <w:b/>
        </w:rPr>
        <w:t>E. 1.1</w:t>
      </w:r>
    </w:p>
    <w:p>
      <w:r>
        <w:t>Verfügungen des Bundesamtes für Migration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In vorliegend zu beurteilender Streitsache ist das Urteil des Bundesverwaltungsgerichts endgültig (Art. 1 Abs. 2 VGG i.V.m. Art. 83 Bst. c Ziff. 1 des Bundesgerichtsgesetzes vom 17. Juni 2005 [BGG, SR 173.110]).</w:t>
      </w:r>
    </w:p>
    <w:p>
      <w:r>
        <w:rPr>
          <w:b/>
        </w:rPr>
        <w:t>E. 1.3</w:t>
      </w:r>
    </w:p>
    <w:p>
      <w:r>
        <w:t>Der Beschwerdeführer ist gemäss Art. 48 Abs. 1 VwVG zur Beschwerde legitimiert; auf die frist- und formgerecht eingereichte Beschwerde ist einzutreten (Art. 49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Inkraftreten des AuG eingereicht worden sind, das bisherige Recht anwendbar. Die Beurteilung erfolgt somit noch nach dem alten Recht. Einschlägig sind das Bundesgesetz vom 26. März 1931 über Aufenthalt und Niederlassung der Ausländer (ANAG, BS 1 121, zum vollständigen Quellennachweis vgl. Ziff. I des Anhangs zum AuG) und die Verordnung vom 14. Januar 1998 über die Einreise und Anmeldung von Ausländerinnen und Ausländern (VEA, AS 1998 194, zum vollständigen Quellennachweis vgl. Art. 39 VEV).</w:t>
      </w:r>
    </w:p>
    <w:p>
      <w:r>
        <w:rPr>
          <w:b/>
        </w:rPr>
        <w:t>E. 3.1</w:t>
      </w:r>
    </w:p>
    <w:p>
      <w:r>
        <w:t>Die Schweizerische Rechtsordnung gewährt grundsätzlich keinen Anspruch auf Bewilligung der Einreise. Der Entscheid darüber ist von der Bewilligungsbehörde in pflichtgemässer Ausübung ihres Ermessens zu fällen (Art. 4 und Art. 16 Abs. 1 ANAG, Art. 9 Abs. 1 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VEA). Um ein Visum zu erhalten, müssen Ausländerinnen und Ausländer die in Artikel 1 Absatz 2 VEA aufgeführten Voraussetzungen erfüllen. Sie haben unter anderem Gewähr für eine fristgerechte Wiederausreise zu bieten (Art. 1 Abs. 2 Bst. c VEA).</w:t>
      </w:r>
    </w:p>
    <w:p>
      <w:r>
        <w:rPr>
          <w:b/>
        </w:rPr>
        <w:t>E. 4</w:t>
      </w:r>
    </w:p>
    <w:p>
      <w:r>
        <w:t>Der Gesuchsteller bedarf aufgrund seiner Nationalität zur Einreise in die Schweiz nebst dem Pass auch eines Visums. Die Vorinstanz verweigerte die Erteilung eines solchen Visums mit der Begründung, die anstandslose und fristgerechte Wiederausreise erscheine nicht als hinreichend gesichert.</w:t>
      </w:r>
    </w:p>
    <w:p>
      <w:r>
        <w:rPr>
          <w:b/>
        </w:rPr>
        <w:t>E. 5</w:t>
      </w:r>
    </w:p>
    <w:p>
      <w:r>
        <w:t>Der Beschwerdeführer beanstandet, die Vorinstanz habe das Gesuch unzulässigerweise nur gestützt auf die allgemeinen Verhältnisse abgelehnt, ohne die konkreten Umstände des Einzelfall gebührend einzubeziehen. Der Einwand ist unbegründet. Die Vorinstanz hat die persönlichen Verhältnisse (soweit bekannt) geprüft und das Ergebnis dieser Prüfung in der angefochtenen Verfügung - wenn auch nur in Form einer negativen Umschreibung - festgehalten.</w:t>
      </w:r>
    </w:p>
    <w:p>
      <w:r>
        <w:rPr>
          <w:b/>
        </w:rPr>
        <w:t>E. 6.1</w:t>
      </w:r>
    </w:p>
    <w:p>
      <w:r>
        <w:t>Wenn es zu beurteilen gilt, ob das Kriterium der gesicherten Wiederausreise erfüllt ist, muss ein zukünftiges Verhalten beurteilt werden. Dazu lassen sich in der Regel keine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6.2</w:t>
      </w:r>
    </w:p>
    <w:p>
      <w:r>
        <w:t>Der Gesuchsteller lebt im inzwischen unabhängigen und von der Schweiz als Staat anerkannten Kosovo. Die Sicherheitslage in dieser Region konnte zwar im Verlaufe der letzten Jahre weitgehend stabilisiert werden und der Wiederaufbau von Administration und Infrastruktur ist unter Beteiligung internationaler Organisationen und Staatengemeinschaften in Gang gekommen. Trotz grosser internationaler Unterstützung ist es aber bisher nicht gelungen, eine Wachstumsdynamik einzuleiten; es herrscht wirtschaftliche Stagnation und die Arbeitslosigkeit bleibt hartnäckig hoch. So sind mehr als die Hälfte der Erwerbsfähigen ohne oder zumindest ohne regelmässiges Einkommen. Gemäss World Bank Brief lag der Armutsanteil der Bevölkerung im Kosovo im Jahr 2005 bereits bei 37% (mit steigender Tendenz). Entsprechend hoch war bisher der Anteil jener, die versuchen, ins Ausland zu gelangen, um sich unter günstigeren Lebensbedingungen eine bessere Existenz sichern zu können. Auch die inzwischen erfolgte Unabhängigkeitserklärung dürfte die Ursachen für das hohe Migrationsaufkommen der Vergangenheit nicht beseitigen. Unter den Auswanderungswilligen gilt vor allem Westeuropa und damit auch die Schweiz als Wunschdestination. Der Trend zur Emigration zeigt sich erfahrungsgemäss dort besonders stark, wo durch die Anwesenheit von Verwandten oder Freunden bereits ein minimales soziales Beziehungsnetz besteht. Im Falle der Schweiz führt dies angesichts der restriktiven Zulassungsregelung nicht selten zur Umgehung ausländerrechtlicher Bestimmungen.</w:t>
      </w:r>
    </w:p>
    <w:p>
      <w:r>
        <w:rPr>
          <w:b/>
        </w:rPr>
        <w:t>E. 7.1</w:t>
      </w:r>
    </w:p>
    <w:p>
      <w:r>
        <w:t>Bei der Risikoanalyse sind aber nicht nur solche allgemeinen Umstände und Erfahrungen, sondern auch sämtliche Gesichtspunkte des konkreten Einzelfalles zu berücksichtigen. Obliegt einem Gesuchsteller im Heimat- oder ständigen Aufenthaltsstaat beispielsweise eine besondere berufliche, gesellschaftliche oder familiäre Verantwortung, kann dieser Umstand durchaus die Prognose für eine anstandslose Wiederausreise begünstigen. Umgekehrt muss bei Gesuchstellern, die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7.2</w:t>
      </w:r>
    </w:p>
    <w:p>
      <w:r>
        <w:t>Beim Gesuchsteller handelt es sich um einen 19-jährigen, ledigen Mann. Gemäss einer von ihm beigebrachten Bestätigung der UNMIK lebt er in gemeinsamem Haushalt mit seinen Eltern und zwei jüngeren Geschwistern. Nach Darstellung des Beschwerdeführers soll er zudem eine feste Freundin haben. Weiterführende Angaben bezüglich der persönlichen und familiären Verhältnisse liegen nicht vor. Hinweise auf ein irgendwie geartetes besonderes Abhängigkeitsverhältnis zwischen dem Gesuchsteller und seinen Familienangehörigen gibt es nicht. Aufgrund seines adoleszenten Alters und der Tatsache, dass er bisher noch keine eigene Familie gegründet hat, dürfte der Gesuchsteller gegenwärtig über ein hohes Mass an persönlicher Flexibilität und Mobilität verfügen. Daran vermag weder das behauptete enge Verhältnis zu den Familienangehörigen noch die Existenz einer festen Freundin Grundlegendes zu ändern. In Situationen angespannter wirtschaftlicher Verhältnisse können erfahrungsgemäss selbst zurückbleibende nahe Angehörige nicht verlässlich davon abhalten, den Entscheid für eine Emigration zu fällen. In den persönlichen und familiären Verhältnissen des Gesuchstellers sind demnach keine Umstände auszumachen, die besondere Gewähr für eine Wiederausreise nach dem Besuchsaufenthalt bieten könnten.</w:t>
      </w:r>
    </w:p>
    <w:p>
      <w:r>
        <w:rPr>
          <w:b/>
        </w:rPr>
        <w:t>E. 7.3</w:t>
      </w:r>
    </w:p>
    <w:p>
      <w:r>
        <w:t>Der Beschwerdeführer weist darauf hin, dass der Gesuchsteller eine Berufslehre absolviere und diese auch zu Ende führen wolle. Aus den Akten ergibt sich diesbezüglich, dass er Ende Mai 2007 an einer Schule in Gjakova als Automechaniker eingeschrieben war. Ob er diese Ausbildung in der Zwischenzeit beendet hat, entzieht sich der Kenntnis des Bundesverwaltungsgerichts. Dessen unbesehen versteht sich von selbst, dass eine laufende oder abgeschlossene Berufsausbildung für sich allein - vor dem Hintergrund der aufgezeigten Verhältnisse vor Ort - nicht schon auf besonders vorteilhafte oder auch nur intakte wirtschaftliche Perspektiven schliessen lässt. Kommt hinzu, dass eine Ausbildung der vom Gesuchsteller gewählten Art im Ausland von Nutzen sein kann.</w:t>
      </w:r>
    </w:p>
    <w:p>
      <w:r>
        <w:rPr>
          <w:b/>
        </w:rPr>
        <w:t>E. 8</w:t>
      </w:r>
    </w:p>
    <w:p>
      <w:r>
        <w:t>Der Beschwerdeführer will in seiner Person Gewähr für eine anstandslose und fristgerechte Wiederausreise des Gesuchstellers aus der Schweiz bieten. An der Integrität des Beschwerdeführers zu zweifeln besteht kein Anlass. In seiner Rolle als Gastgeber kann er im Rahmen der von den Kantonen üblicherweise einverlangten Garantien in bestimmtem Umfang für finanzielle Risiken einstehen, mangels rechtlicher und faktischer Durchsetzbarkeit nicht aber für ein bestimmtes Verhalten des Gastes. Dies umso weniger, als selbst entsprechende Erklärungen des Gastes nur deklaratorischen Charakter haben (vgl. im Zusammenhang mit Studienaufenthalten den Entscheid des Eidg. Justiz- und Polizeidepartements vom 27. Juli 1992, auszugsweise publiziert in: Verwaltungspraxis der Bundesbehörden [VPB] 57.24).</w:t>
      </w:r>
    </w:p>
    <w:p>
      <w:r>
        <w:rPr>
          <w:b/>
        </w:rPr>
        <w:t>E. 9</w:t>
      </w:r>
    </w:p>
    <w:p>
      <w:r>
        <w:t>Vor dem aufgezeigten Hintergrund durfte die Vorinstanz zu Recht davon ausgehen, dass die fristgerechte Wiederausreise nicht gewährleistet sei (vgl. Art. 14 Abs. 1 i.V.m. Art. 1 Abs. 2 Bst. c VEA).</w:t>
      </w:r>
    </w:p>
    <w:p>
      <w:r>
        <w:rPr>
          <w:b/>
        </w:rPr>
        <w:t>E. 10</w:t>
      </w:r>
    </w:p>
    <w:p>
      <w:r>
        <w:t>Die angefochtene Verfügung ist im Lichte von Art. 49 VwVG nicht zu beanstanden. Die Beschwerde ist daher abzuweisen.</w:t>
      </w:r>
    </w:p>
    <w:p>
      <w:r>
        <w:rPr>
          <w:b/>
        </w:rPr>
        <w:t>E. 11</w:t>
      </w:r>
    </w:p>
    <w:p>
      <w:r>
        <w:t>Entsprechend dem Ausgang des Verfahrens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