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C-6928/2008 vom 25. Februar 2011</w:t>
      </w:r>
    </w:p>
    <w:p>
      <w:r>
        <w:t>Bundesverwaltungsgericht, 2011-02-25, DE</w:t>
      </w:r>
    </w:p>
    <w:p>
      <w:r>
        <w:rPr>
          <w:b/>
        </w:rPr>
        <w:t xml:space="preserve">Quelle: </w:t>
      </w:r>
      <w:r>
        <w:t>https://mcp.opencaselaw.ch/entscheid/bvger_C-6928_2008</w:t>
      </w:r>
    </w:p>
    <w:p>
      <w:r>
        <w:t>FR: TAF C-6928/2008 du 25 février 2011</w:t>
      </w:r>
    </w:p>
    <w:p>
      <w:r>
        <w:t>IT: TAF C-6928/2008 del 25 febbraio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(60 ATSG, Art. 52 VwVG und Art. 63 Abs. 4 VwVG) und der Kostenvorschuss aufforderungsgemäss geleistet wurde, ist darauf einzutreten.</w:t>
      </w:r>
    </w:p>
    <w:p>
      <w:r>
        <w:rPr>
          <w:b/>
        </w:rPr>
        <w:t>E. 2</w:t>
      </w:r>
    </w:p>
    <w:p>
      <w:r>
        <w:t>Vorab ist zu prüfen, welche Rechtsnormen im vorliegenden Verfahren zur Anwendung gelangen.</w:t>
      </w:r>
    </w:p>
    <w:p>
      <w:r>
        <w:rPr>
          <w:b/>
        </w:rPr>
        <w:t>E. 2.1</w:t>
      </w:r>
    </w:p>
    <w:p>
      <w:r>
        <w:t>Der Beschwerdeführer ist kosovarischer Staatsangehöriger.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8. Oktober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2.3</w:t>
      </w:r>
    </w:p>
    <w:p>
      <w:r>
        <w:t>Nach ständiger Rechtsprechung stellt das Sozialversicherungsgericht bei der Beurteilung einer Streitsache in der Regel auf den bis zum Zeitpunkt des Erlasses der streitigen Verfügung(en) (hier: 8. Oktober 2008) eingetretenen Sachverhalt ab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 28 IVG entsteht nach den Vorschriften der 4. IV-Revision frühestens in dem Zeitpunkt, in dem der Versicherte mindestens zu 40% bleibend erwerbsunfähig geworden ist (Art. 29 Abs. 1 lit. a IVG [4. IV-Revision]) oder während eines Jahres ohne wesentlichen Unterbruch durchschnittlich mindestens zu 40% arbeitsunfähig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 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 Insofern steht der Verwaltung also ein gewisser Beurteilungsspielraum zu. Tritt die Verwaltung auf die Neuanmeldung ein, so hat sie die Sache materiell abzuklären und sich zu vergewissern, ob die vom Versicherten glaubhaft gemachte Veränderung des Invaliditätsgrades auch tatsächlich eingetreten ist. Sie hat demnach in analoger Weise wie bei einem Revisionsfall nach Art. 17 Abs. 1 ATSG vorzugehen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3.6</w:t>
      </w:r>
    </w:p>
    <w:p>
      <w:r>
        <w:t>Laut Dispositiv der angefochtenen Verfügung vom 8. Oktober 2008 war die Vorinstanz "nicht in der Lage das neue Gesuch zu prüfen". Zur Begründung verwies sie auf Art. 87 Abs. 4 IVV und führte aus, dass die zugestellten Unterlagen nicht auf eine Änderung des Gesundheitszustandes schliessen liessen. Nach Eingang der Neuanmeldung des Beschwerdeführers unterbreitete die Vorinstanz die neu eingereichten medizinischen Unterlagen zwei Mal ihrem ärztlichen Dienst (act. IV 174 und 185). In seinen Stellungnahmen vom 13. Mai 2008 (act. IV 175) und 2. Oktober 2008 (act. IV 186) würdigte Dr. M._______ des ärztlichen Dienstes die neuen medizinischen Unterlagen eingehend und kam dabei zum Schluss, dass die gleichen somatischen und psychischen Beschwerden angegeben würden, wie sie bereits aus dem ausführlichen ZMB-Gutachten von 1998 beschrieben würden. Als einzig neue Aspekte würden eine Angina pectoris und eine cervicale Myelopathie aufgeführt, letztere ohne klinisches Korrelat und ohne Angabe von bildgebenden Verfahren. Insgesamt könne keine Veränderung des Gesundheitszustandes gegenüber der Situation von 1998 festgestellt werden. Die angefochtene Verfügung der Vorinstanz stützte sich auf diese Beurteilungen ihres ärztlichen Dienstes, welcher durchaus eine vertiefte Prüfung der medizinischen Unterlagen vorgenommen hat und sich nicht bloss zur Frage geäussert hat, ob mit der Neuanmeldung im Sinne von Art. 87 Abs. 3 IVV glaubhaft gemacht wurde, dass sich der Grad der Invalidität der Beschwerdeführerin in einer für den Anspruch erheblichen Weise geändert hat. Damit hat die Vorinstanz nicht allein geprüft, ob eine anspruchsrelevante Änderung des Invaliditätsgrades glaubhaft gemacht wurde, sondern darüber hinaus materiell abgeklärt, ob und allenfalls in welchem Ausmass sich der Invaliditätsgrad seit der letzten einlässlichen Beurteilung geändert hat. Dieses Vorgehen steht dem Erlass eines Nichteintretensentscheides entgegen. Die angefochtene Verfügung der Vorinstanz vom 22. Mai 2008 ist demnach - trotz anders lautendem Dispositiv - als materielle Abweisung des neuen Leistungsbegehrens zu qualifizieren. 4.1. Bei dieser Sachlage ist vorliegend nicht mehr zu prüfen, ob die Vorinstanz zu Recht auf die Neuanmeldung der Beschwerdeführerin nicht eingetreten ist (BGE 109 V 108 E 2b). Vielmehr ist materiell zu überprüfen, ob die Vorinstanz zu Recht eine relevante Änderung des Invaliditätsgrades seit Erlass der letzten rechtskräftigen Verfügung verneint und das neue Leistungsbegehren (faktisch) abgewiesen hat. 4.2. Eine Änderung des Invaliditätsgrades setzt stets auch eine Änderung der tatsächlichen Verhältnisse voraus. 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 4.3. Mit drei vom 11. März 2004 datierten Verfügungen (act. IV 137 - 139) sprach die kantonale IV-Stelle dem Beschwerdeführer infolge Invaliditätsgrad von 41 % eine ordentliche Viertelsrente mit Wirkung vom 1. August 1992 bis 31. Dezember 1996 von monatlich Fr. 69.-, vom 1. Januar 1997 bis 31. Dezember 2003 von monatlich Fr. 149.- und ab dem 1. Januar 2004 von Fr. 75.- zu. Gemäss Aktenlage ergingen diese Verfügungen aufgrund des Urteils I 640/00 des Eidgenössischen Versicherungsgerichts (heute Bundesgericht) vom 16. April 2002 (act. IV 121), wonach in Gutheissung der Verwaltungsgerichtsbeschwerde der Entscheid des Verwaltungsgerichts des Kantons Freiburg vom 31. August 2000 und die Verfügung der IV-Stelle des Kantons Freiburg vom 21. September 1998 aufgehoben und die Sache mit der Feststellung, dass der Beschwerdeführer bei einem Invaliditätsgrad von 40,5 % Anspruch auf eine Invalidenrente hat, zur Prüfung des Härtefalles und zu neuer Verfügung an die IV-Stelle zurückgewiesen wurde (vgl. Dispositivziffer I.). Im Rahmen des Gesuchs- und Rechtsmittelverfahrens wurde der Sachverhalt eingehend untersucht, indem sich die Verwaltung und die Beschwerdeinstanzen insbesondere und soweit aktenkundig auf das medizinische Gutachten der Dres. E._______ und J. S._______, Z._______ für medizinische Begutachtung Basel vom 26. Februar 1998 (act. IV 80), den Bericht von Dr. R._______, Neurologie, vom 5. September 1991, act. IV 58), die Berichte von Dr. F._______, allgemeine Medizin, vom 5. September 1995 und 2. Juni 1993 (act. IV 57 und 14) und den Abklärungsbericht der beruflichen Abklärungsstelle BEFAS vom 18. November 1994 (act. IV 43) abstützten. Es handelt sich demzufolge bei den Verfügungen vom 11. März 2004 um eine abgeschlossene materielle Prüfung des Rentenanspruchs mit rechtskonformer Sachverhaltsabklärung und Beweiswürdigung, welche den Referenzzeitpunkt begründet. Nicht ausschlaggebend als Referenzzeitpunkt ist hingegen die im Rahmen des Revisionsverfahrens von der kantonalen IV-Stelle ergangene Mitteilung vom 6. September 2005, welche, wie der Belehrung zu entnehmen ist, keine anfechtbare Verfügung darstellt, gibt sie diesem doch die Gelegenheit, eine solche zu verlangen (act. IV 155). Ebensowenig als Referenzzeitpunkt ist die Verfügung der Vorinstanz vom 12. Juli 2007 (act. IV 159) ausschlaggebend, welche einzig aufgrund des Wechsels der Zuständigkeit der IV-Stelle erging, nachdem der Beschwerdeführer ins Ausland weggezogen war, und wo diese feststellte, dass die Voraussetzungen für den Leistungsbezug deswegen nicht mehr erfüllt waren und die Rente einstellte.</w:t>
      </w:r>
    </w:p>
    <w:p>
      <w:r>
        <w:rPr>
          <w:b/>
        </w:rPr>
        <w:t>E. 5</w:t>
      </w:r>
    </w:p>
    <w:p>
      <w:r>
        <w:t>Nachfolgend ist demnach zu prüfen, ob im Zeitraum zwischen den Rentenverfügungen vom 11. März 2004 (Referenzzeitpunkt) und der angefochtenen Verfügung vom 8. Oktober 2008 eine Änderung des Invaliditätsgrades in rentenbegründendem Ausmass eingetreten ist.</w:t>
      </w:r>
    </w:p>
    <w:p>
      <w:r>
        <w:rPr>
          <w:b/>
        </w:rPr>
        <w:t>E. 5.1</w:t>
      </w:r>
    </w:p>
    <w:p>
      <w:r>
        <w:t>Im vorliegenden Fall stützte sich die Vorinstanz bei ihrem angefochtenen Entscheid im Wesentlichen auf folgende aktenkundigen medizinischen Unterlagen: - Den von der Vorinstanz beim Hausarzt, Dr. F._______, eingeholten Arztbericht vom 19. Mai 2005, welcher mit Wirkung auf die Arbeitsfähigkeit ein Lumbovertebralsyndrom bei praesacraler Osteochondrose und paramedianer rechtsseitiger Diskushernie diagnostizierte und berichtete, dass sich der Gesundheitszustand des Beschwerdeführers verschlechtere. Die Arbeitsfähigkeit beurteilte der Arzt dahingehend, als dem Beschwerdeführer die bisherige Tätigkeit nicht mehr zumutbar sei, wohl aber behinderungsangepasste körperlich leichtere Verweisungstätigkeiten in reduziertem Umfang. - Den ärztlichen Fragebogen (Formular YU/CH 4) von Dr. L._______ vom 30. Juli 2007 (act. IV 173) mit beigelegtem undatiertem Kurzbericht desselben Arztes (act. 166), wonach der Patient weiterhin unter lumbalen Beschwerden, Kopfschmerzen, depressiver Stimmung sowie Angina pectoris leide und durch Spezialisten behandelt werde. Die Arbeitsunfähigkeit wird mit 70 % beurteilt. - Den ärztlichen Fragebogen (Formular YU/CH 4) von Dr. A._______, Internist, vom 23. Juli 2007 (act. IV 172) mit beigelegtem Kurzbericht des gleichen Arztes vom 23. Juli 2007 (act. IV 171), wonach eine Hypertensio arterialis, Angina pectoris und Herzinsuffizienz diagnostiziert würden, der Patient arbeitsunfähig sei und die Behandlung fortgesetzt werden solle. - Den ärztlichen Fragebogen (Formular YU/CH 4) von Dr. I._______, S.________ Poliklinik für Neurologie und Psychiatrie vom 19. Juli 2007 (act. IV 170), mit beigelegtem Kurzbericht desselben Arztes vom 17. Juli 2007 (act. IV 167), wonach depressive Episoden und eine Radikulopathie lumbalis diagnostiziert würden, der Patient einer dauernden psychischen und physiotherapeutischen Behandlung bedürfe und eine Arbeitsunfähigkeit von 60 % vorliege. - Den Schlussbericht von Dr. M._______, Facharzt Allgemeine Medizin des RAD Rhone, vom 13. Mai 2008 (act. IV 175), welcher vorne in Erwägung 3.6 dargestellt wurde.</w:t>
      </w:r>
    </w:p>
    <w:p>
      <w:r>
        <w:rPr>
          <w:b/>
        </w:rPr>
        <w:t>E. 5.2</w:t>
      </w:r>
    </w:p>
    <w:p>
      <w:r>
        <w:t>Der Beschwerdeführer macht im Wesentlichen geltend, dass sich sein Gesundheitszustand seit seiner Rückkehr in den Kosovo erheblich verschlechtert habe, so namentlich wegen einer starken Depression, Hypertonie und Angina pectoris, und mit medizinischen Massnahmen nicht verbessert werden könne. Dies führe dazu, dass er nicht in der Lage sei, mehrstündige Arbeiten zu verrichten, und auch nicht eingliederungsfähig sei, da er auf dem Arbeitsmarkt keine der Ausbildung und Behinderung entsprechende Stelle finden könne. Daher sei er sowohl in der angestammten Tätigkeit, wie auch in Verweistätigkeiten zu 100 % arbeitsunfähig.</w:t>
      </w:r>
    </w:p>
    <w:p>
      <w:r>
        <w:rPr>
          <w:b/>
        </w:rPr>
        <w:t>E. 5.3</w:t>
      </w:r>
    </w:p>
    <w:p>
      <w:r>
        <w:t>Eine Verschlechterung des Gesundheitszustandes wie vom Beschwerdeführer behauptet, ist aus den neu eingereichten Akten jedoch insgesamt nicht erwiesen. Die erwähnten Kurzatteste der kosovarischen Ärzte sind nur knapp gehalten, sodass die medizinischen Zusammenhänge nicht ersichtlich sind. So halten die Dres. L._______ und A._______ im besagten Fragebogen unter Ziff. D.3 fest, dass sich der Invaliditätszustand verschlechtert habe (act. IV 173 und 172), ohne dies aber in ihren beigelegten Kurzattesten (vgl. act. IV 166 und 171) näher zu begründen, und diese - wie sich zeigt - ohne Kenntnis ärztlicher Vorberichte erstellt worden sind. Vielmehr werden hier die bisher bekannten Diagnosen, mit Ausnahme der Angina pectoris und der Myelopathia cervicale, wiederholt und berichtet, dass sich der Patient weiterhin in Behandlung befinde. Inwieweit die neu diagnostizierten Angina pectoris sowie Myelopathia cervicale invaliditätsrelevant sind, geht aus den Akten nicht hervor. Nach der Beurteilung des RAD-Arztes seien diese Diagnosen ohne Grundlage.</w:t>
      </w:r>
    </w:p>
    <w:p>
      <w:r>
        <w:rPr>
          <w:b/>
        </w:rPr>
        <w:t>E. 5.4</w:t>
      </w:r>
    </w:p>
    <w:p>
      <w:r>
        <w:t>Entgegen der Auffassung des Beschwerdeführers ist die geltend gemachte Arbeitsunfähigkeit von 100 % nicht aufgrund der von ihm eingereichten medizinischen Unterlagen belegt. Die kosovarischen Ärzte (Dres. Luma, Avdiu und Abdullahu) schätzten die Arbeitsunfähigkeit gemäss Fragebogen (Ziff. D 5) mit 60 % - 70 % ein und verneinten, dass der Patient jegliche Erwerbstätigkeit in der angestammten Tätigkeit und Verweisungstätigkeit (Ziff. D 6) ausüben könne, wobei darauf in den jeweiligen Kurzattesten nicht näher eingegangen wird. Allein der Umstand, dass die behandelnden bzw. die heimatlichen Ärzte die Arbeitsfähigkeit geringer einschätzen als die Beurteilungen bis zum Referenzzeitpunkt (vgl. act IV 80 S. 16), vermag die Beurteilung von Dr. M._______ nicht in Zweifel zu ziehen. Nach ständiger Rechtsprechung präjudiziert nämlich eine andere Beurteilung oder gar die Gewährung von Leistungen durch eine ausländisches Versicherungsorgan die invalidenversicherungsrechtliche Beurteilung nach schweizerischem Recht nicht (Urteil des EVG I 435/02 vom 4. Februar 2003 E. 2; ZAK 1989 S. 320 E. 2). Der weitere Einwand des Beschwerdeführers, er könne aufgrund der ihm bis zum Referenzzeitpunkt attestierten verbleibenden Arbeitsfähigkeit für einfachere Hilfsarbeiten nach seiner Rückkehr in sein Heimatland Kosovo keine Stelle finden und ein ausreichendes Einkommen erwirtschaften, ist vorliegend für die Bestimmung des Invaliditätsgrades irrelevant, weil sich die für die Invaliditätsbemessung massgebenden Vergleichseinkommen eines im Ausland wohnenden Versicherten auf den gleichen Arbeitsmarkt wie in der Schweiz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w:t>
      </w:r>
    </w:p>
    <w:p>
      <w:r>
        <w:rPr>
          <w:b/>
        </w:rPr>
        <w:t>E. 5.5</w:t>
      </w:r>
    </w:p>
    <w:p>
      <w:r>
        <w:t>Der Beschwerdeführer legte im Rahmen des vorliegenden Rechtsmittelverfahrens beschwerdeweise weitere ärztliche Unterlagen ins Recht, welche seinen Standpunkt untermauern sollen: - Den Kurzbericht von Dr. L._______, Hausarzt, vom 29. Oktober 2008 (act. 9/1, mit Übersetzung in act. 17), in welchem im Wesentlichen die Befunde und Diagnosen in seinem früheren (undatierten) Bericht (vgl. act. IV 166) wiederholt werden, zusätzlich eine erektile Dysfunktion sowie eine Uretrolithiasis diagnostiziert und die Arbeitsunfähigkeit neu auf 75 % beurteilt werden. - Den Kurzbericht von Dr. I._______, S._______ Poliklinik für Neurologie und Psychiatrie, vom 29. Oktober 2008 (act. 9/2 mit Übersetzung in act. 17), wo ebenfalls im Wesentlichen die Befunde und Diagnosen in seinem früheren Bericht vom 17. Juli 2007 (act. IV 167) wiederholt werden und zusätzlich eine erektile Dysfunktion diagnostiziert wird.- Der RAD-Arzt beurteilt in seinem Schlussbericht vom 25. August 2009 (act. 13/2) diese beiden neuen Diagnosen als vorübergehende Erkrankungen, welche nicht invalidisierend einzustufen seien. Triplikweise legte der Beschwerdeführer schliesslich noch weitere Arztberichte ins Recht: - Den psychiatrischen Kurzbericht von Dr. G._______ vom 24. September 2009 (act. 15/2 mit Übersetzung in act. 18), wonach eine schwere depressive Episode ohne psychotische Symptome (ICD 10 F32.2), sexuelle Funktionsstörungen (ICD 10 F 52) und eine Radikulopathia lumbalis diagnostiziert werden und berichtet wird, dass sich der Patientin in Behandlung befinde und eine Arbeitsunfähigkeit von 65 % vorliege.- Den Kurzbericht von Dr. L._______, Hausarzt, vom 23. September 2009 (act. 15/3 mit Übersetzung in act. 18), worin dieser seine Befunde gemäss Bericht vom 29. Oktober 2008 bestätigt. Daraus lässt sich entnehmen, dass im Wesentlichen Dr. G._______ die bereits bekannten Diagnosen und Befunde der Dres. L._______ und A._______ wiederholt, zu welchen der RAD-Arzt Stellung genommen hatte. Der Psychiater berichtet zwar, der Patient leide in letzter Zeit vermehrt über somatische Beschwerden wie Kopfschmerzen und Gliederschmerzen.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Ein entsprechender Zusammenhang lässt sich aus dem vorgelegten, nur allgemein gefassten Kurzbericht indes nicht entnehmen. Insgesamt ergeben sich aus den erst im Rahmen des Rechtsmittelverfahrens eingereichten Berichten somit keine Anhaltspunkte, welche ein anderes Ergebnis zu rechtfertigen vermöchten. Die Frage der novenrechtlichen Zulässigkeit dieser Arztberichte kann daher offen bleiben.</w:t>
      </w:r>
    </w:p>
    <w:p>
      <w:r>
        <w:rPr>
          <w:b/>
        </w:rPr>
        <w:t>E. 5.6</w:t>
      </w:r>
    </w:p>
    <w:p>
      <w:r>
        <w:t>Nach dem Gesagten hat die Vorinstanz zu Recht eine Verschlechterung des Gesundheitszustandes mit Auswirkung auf die Arbeitsfähigkeit seit dem letzten rechtskräftigen Entscheid verneint und das neue Leistungsbegehren im Ergebnis abgewiesen. Die Beschwerde ist daher abzuweisen und die angefochtene Verfügung der Vorinstanz vom 8. Oktober 2008 unter Substitution der Begründung im Sinne der vorliegende Erwägungen (E. 5) zu bestätigen.</w:t>
      </w:r>
    </w:p>
    <w:p>
      <w:r>
        <w:rPr>
          <w:b/>
        </w:rPr>
        <w:t>E. 6</w:t>
      </w:r>
    </w:p>
    <w:p>
      <w:r>
        <w:t>Zu befinden bleibt noch über die Verfahrenskosten und eine allfällige Parteientschädigung.</w:t>
      </w:r>
    </w:p>
    <w:p>
      <w:r>
        <w:rPr>
          <w:b/>
        </w:rPr>
        <w:t>E. 6.1</w:t>
      </w:r>
    </w:p>
    <w:p>
      <w:r>
        <w:t>Als unterliegende Partei hat der Beschwerdeführer grundsätzlich die Verfahrenskosten zu tragen (Art. 63 Abs. 1 VwVG). Während des vorliegenden Verfahrens hat er indes ein Gesuch um Gewährung der unentgeltlichen Rechtspflege (Erlass der Verfahrenskosten) gestellt, über das noch zu entscheiden ist.</w:t>
      </w:r>
    </w:p>
    <w:p>
      <w:r>
        <w:rPr>
          <w:b/>
        </w:rPr>
        <w:t>E. 6.1.1</w:t>
      </w:r>
    </w:p>
    <w:p>
      <w:r>
        <w:t>Gemäss Art. 65 Abs. 1 VwVG kann eine Partei, die nicht über die erforderlichen Mittel verfügt und deren Begehren nicht als aussichtslos erscheint, auf Antrag von der Bezahlung der Verfahrenskosten befreit werden.</w:t>
      </w:r>
    </w:p>
    <w:p>
      <w:r>
        <w:rPr>
          <w:b/>
        </w:rPr>
        <w:t>E. 6.1.2</w:t>
      </w:r>
    </w:p>
    <w:p>
      <w:r>
        <w:t>Eine Person ist bedürftig, wenn sie nicht in der Lage ist, für die Prozesskosten aufzukommen, ohne dass sie Mittel beanspruchen müsste, die zur Deckung des Grundbedarfs für sie und ihre Familie notwendig sind (BGE 127 I 202 E. 3b). Aufgrund der Akten ist die Bedürftigkeit des Beschwerdeführers ausgewiesen. Er ist ohne Beeinträchtigung der für seinen Unterhalt erforderlichen finanziellen Mittel nicht in der Lage, die Prozesskosten zu bestreiten.</w:t>
      </w:r>
    </w:p>
    <w:p>
      <w:r>
        <w:rPr>
          <w:b/>
        </w:rPr>
        <w:t>E. 6.1.3</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Zwar hat der Beschwerdeführer inzwischen den ihm auferlegten Kostenvorschuss für die mutmasslichen Verfahrenskosten von Fr. 300.- bezahlt, ohne das Gesuch zurückzuziehen. In Anbetracht dessen jedoch, dass er - soweit aktenkundig und nach eigenen Angaben - keiner Erwerbstätigkeit nachgeht (vgl. act. IV 149, 163, 177) und nach der Einstellung der Invalidenente auf die Sozialhilfe angewiesen ist (act. IV 177 und 187, act. 15/1), ist seine Mittellosigkeit zu bejahen, weshalb das Gesuch um Erlass der Verfahrenskosten gutzuheissen ist.</w:t>
      </w:r>
    </w:p>
    <w:p>
      <w:r>
        <w:rPr>
          <w:b/>
        </w:rPr>
        <w:t>E. 6.2</w:t>
      </w:r>
    </w:p>
    <w:p>
      <w:r>
        <w:t>Dem unterliegenden Beschwerdeführer ist keine Parteientschädigung zuzusprechen (Art. 64 Abs. 1 VwVG e contrario). Da der Rechtsvertreter des Beschwerdeführers kein Anwalt ist und sich das Gesuch des Beschwerdeführers um Gewährung der unentgeltlichen Rechtspflege daher einzig auf die Befreiung von Verfahrenskosten bezog, ist aus dieser Sicht sein Rechtsvertreter nicht aus der Gerichtskasse zu entschädigen. Die obsiegende Vorinstanz hat keinen Anspruch auf eine Parteientschädigung (Art. 7 Abs.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