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C-6920/2014 vom 27. August 2015</w:t>
      </w:r>
    </w:p>
    <w:p>
      <w:r>
        <w:t>Bundesverwaltungsgericht, 2015-08-27, FR</w:t>
      </w:r>
    </w:p>
    <w:p>
      <w:r>
        <w:rPr>
          <w:b/>
        </w:rPr>
        <w:t xml:space="preserve">Quelle: </w:t>
      </w:r>
      <w:r>
        <w:t>https://mcp.opencaselaw.ch/entscheid/bvger_C-6920_2014</w:t>
      </w:r>
    </w:p>
    <w:p>
      <w:r>
        <w:t>FR: TAF C-6920/2014 du 27 août 2015</w:t>
      </w:r>
    </w:p>
    <w:p>
      <w:r>
        <w:t>IT: TAF C-6920/2014 del 27 agosto 2015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w:t>
      </w:r>
    </w:p>
    <w:p>
      <w:r>
        <w:t>Dans son mémoire de recours daté du 20 octobre 2014, le recourant a notamment reproché à l'instance inférieure d'avoir violé son droit d'être entendu, en omettant de lui communiquer certaines pièces du dossier, alors qu'il avait explicitement demandé pouvoir consulter son dossier dans son écrit du 22 avril 2013.</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l'art.35 PA (droit d'obtenir une décision motivée).</w:t>
      </w:r>
    </w:p>
    <w:p>
      <w:r>
        <w:rPr>
          <w:b/>
        </w:rPr>
        <w:t>E. 3.2</w:t>
      </w:r>
    </w:p>
    <w:p>
      <w:r>
        <w:t>Aux termes de l'art. 26 al. 1 PA, la partie et son mandataire ont le droit de consulter les mémoires des parties et les observations responsives des autorités (let. a), tous les actes servant de moyens de preuve (let. b) et la copie des décisions notifiées (let. c). 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Auer/Müller/Schindler [éd.], Kommentar zum Bundesgesetz über das Verwaltungsverfahren [VwVG], 2008, ad. art. 27 PA n° 6ss p. 403).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417).</w:t>
      </w:r>
    </w:p>
    <w:p>
      <w:r>
        <w:rPr>
          <w:b/>
        </w:rPr>
        <w:t>E. 3.3</w:t>
      </w:r>
    </w:p>
    <w:p>
      <w:r>
        <w:t>En l'occurrence, il sied de noter en premier lieu que dans son écrit du 22 avril 2013, le recourant a requis que l'instance inférieure lui transmette une copie du document auquel elle faisait référence dans son courrier du 1er mars 2013, sans préciser quelle pièce il souhaitait pouvoir consulter, alors que l'autorité intimée avait mentionné plusieurs documents dans cet écrit. En outre, toutes les pièces sur lesquelles l'autorité inférieure s'appuyait dans son pli du 1er mars 2013 étaient déjà en possession du recourant (cf. sa transmission du 12 juin 2014).</w:t>
      </w:r>
    </w:p>
    <w:p>
      <w:r>
        <w:rPr>
          <w:b/>
        </w:rPr>
        <w:t>E. 3.4</w:t>
      </w:r>
    </w:p>
    <w:p>
      <w:r>
        <w:t>Certes, le dossier de l'autorité inférieure contient effectivement divers documents qui n'ont pas été communiqués au recourant, au motif qu'ils contiennent "des informations confidentielles dont la production mettrait à mal des intérêts privés importants au sens de l'art. 27 al. 1 PA" (cf. la note au dossier du 19 septembre 2014). Cela étant, le Tribunal estime qu'au vu des circonstances particulières du cas, des propos exprimés dans les documents en question et du fait que la personne concernée a expressément demandé que ceux-ci demeurent confidentiels, c'est à juste titre qu'en vertu de l'art. 27 al. 1 let. b PA, l'autorité intimée a refusé de transmettre les pièces en question au recourant. En outre, il y a lieu de considérer que la restriction au droit de consulter le dossier respecte le principe de la proportionnalité, vu l'importance des intérêts privés en cause. Aussi, force est de constater que dans sa décision du 10 octobre 2014, l'autorité de première instance n'a pas utilisé les pièces dont la consultation a été refusée au recourant à son désavantage. La motivation de la décision de l'autorité inférieure du 10 octobre 2014 repose en effet exclusivement sur des documents qui étaient connus du recourant, tels que la requête de mesures protectrices de l'union conjugale du 1er septembre 2005 et les jugements pénaux et civils rendus à son endroit. Dans ces conditions, l'autorité inférieure a respecté les conditions posées aux art. 27 et 28 PA lorsqu'elle a refusé la consultation de certaines pièces du dossier au recourant.</w:t>
      </w:r>
    </w:p>
    <w:p>
      <w:r>
        <w:rPr>
          <w:b/>
        </w:rPr>
        <w:t>E. 3.5</w:t>
      </w:r>
    </w:p>
    <w:p>
      <w:r>
        <w:t>Enfin, à toutes fins utiles, il convient encore de noter que l'autorité de première instance n'a pas violé le droit d'être entendu du recourant, en omettant de donner suite à ses requêtes tendant à son audition personnelle. A ce sujet, il sied tout au plus de rappeler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notamment ATF 136 I 229 consid. 5.3 et ATF 138 III 374 consid. 4.3.2). Au demeurant, le doit d'être entendu ne confère pas aux parties le droit de s'exprimer verbalement devant l'autorité appelée à prendre une décision (cf. ATF 134 I 140 consid. 5.3 et l'arrêt du Tribunal fédéral 2C_901/2014 du 27 janvier 2015 consid. 3).</w:t>
      </w:r>
    </w:p>
    <w:p>
      <w:r>
        <w:rPr>
          <w:b/>
        </w:rPr>
        <w:t>E. 3.6</w:t>
      </w:r>
    </w:p>
    <w:p>
      <w:r>
        <w:t>Par conséquent, le grief tiré de la violation du droit d'être tendu doit être écarté.</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4.3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5.1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5.3</w:t>
      </w:r>
    </w:p>
    <w:p>
      <w:r>
        <w:t>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5.4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6</w:t>
      </w:r>
    </w:p>
    <w:p>
      <w:r>
        <w:t>A titre préliminaire, le Tribunal constate que les conditions formelles de l'annulation de la naturalisation facilitée prévues par l'art. 41 LN sont réalisées dans le cas particulier.</w:t>
      </w:r>
    </w:p>
    <w:p>
      <w:r>
        <w:rPr>
          <w:b/>
        </w:rPr>
        <w:t>E. 6.1</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notamment l'arrêt du Tribunal fédéral 1C_540/2014 du 5 janvier 2015 consid. 3.1).</w:t>
      </w:r>
    </w:p>
    <w:p>
      <w:r>
        <w:rPr>
          <w:b/>
        </w:rPr>
        <w:t>E. 6.2</w:t>
      </w:r>
    </w:p>
    <w:p>
      <w:r>
        <w:t>In casu, les conditions formelles prévues à l'art. 41 LN, qui est applicable dans sa nouvelle teneur, puisqu'au moment de l'entrée en vigueur du nouveau droit, à savoir le 1er mars 2011, l'ancien délai de cinq ans n'était pas encore écoulé, sont réalisées. En effet, la naturalisation facilitée accordée au recourant le 24 juillet 2008 a été annulée par l'autorité inférieure en date du 10 octobre 2014, soit avant l'échéance du délai péremptoire prévu par la disposition précitée, avec l'assentiment de l'autorité cantonale compétente. En outre, le délai relatif de deux ans à compter du jour où l'autorité intimée a pris connaissance des faits déterminants, soit le 20 décembre 2011, est également respecté, plusieurs actes d'instruction faisant courir des nouveaux délais de prescription au sens de l'art. 41 al. 1bis LN ayant été communiqués à l'intéressé entre décembre 2011 et octobre 2014 (cf. les courriers du 1er mars 2013, du 21 novembre 2013, du 5 mars 2014 et du 9 mai 2014).</w:t>
      </w:r>
    </w:p>
    <w:p>
      <w:r>
        <w:rPr>
          <w:b/>
        </w:rPr>
        <w:t>E. 7</w:t>
      </w:r>
    </w:p>
    <w:p>
      <w:r>
        <w:t>Il convient dès lors d'examiner si les circonstances du cas particulier répondent aux conditions matérielles de l'annulation de la naturalisation facilitée.</w:t>
      </w:r>
    </w:p>
    <w:p>
      <w:r>
        <w:rPr>
          <w:b/>
        </w:rPr>
        <w:t>E. 7.1</w:t>
      </w:r>
    </w:p>
    <w:p>
      <w:r>
        <w:t>En l'espèce, le Tribunal constate que A._______ et B._______ ont conclu mariage le 22 novembre 2001. Le prénommé a déposé une demande de naturalisation facilitée en date du 7 novembre 2007 et le 20 juin 2008, les époux ont signé une déclaration selon laquelle ils vivaient en communauté conjugale effective et stable. Par décision du 24 juillet 2008, l'autorité de première instance a accordé la naturalisation facilitée à l'intéressé. Les époux A._______ et B._______ se sont séparés suite aux événements survenus le 15 juin 2009. Le 24 juin 2009, B._______ a déposé une requête de mesures protectrices de l'union conjugale et le 20 septembre 2011, elle a formé une requête unilatérale de divorce. Par jugement du 15 août 2013, le Tribunal régional de Y._______ a prononcé le divorce des époux A._______ et B._______, décision qui a été confirmée sur recours par la Cour d'appel civile du Tribunal cantonal de X._______ le 13 décembre 2013 et le Tribunal fédéral en date du 15 avril 2014. Les éléments précités et leur enchaînement chronologique rapide sont de nature à fonder la présomption de fait selon laquelle, au moment de la signature de la déclaration commune et lors de la décision de naturalisation, la communauté conjugale des époux A._______ et B._______ n'était plus stable et orientée vers l'avenir au sens de l'art. 27 LN. Le court laps de temps séparant la déclaration commune (le 20 juin 2008), l'octroi de la naturalisation facilitée (le 24 juillet 2008), les événements survenus le 15 juin 2009, le dépôt d'une requête de mesures protectrices de l'union conjugale (le 24 juin 2009) et le dépôt d'une demande unilatérale de divorce par B._______ (le 20 septembre 2011) est de nature à fonder la présomption que cette naturalisation a été acquise au moyen de déclarations mensongères, respectivement en dissimulant des faits essentiels. Comme relevé plus haut, il est en effet conforme à la jurisprudence en la matière d'admettre une présomption de fait selon laquelle la communauté conjugale n'était pas stable lors de l'octroi de la naturalisation si la séparation intervient, comme en l'espèce, moins d'un an plus tard (cf. consid. 5.3 supra).</w:t>
      </w:r>
    </w:p>
    <w:p>
      <w:r>
        <w:rPr>
          <w:b/>
        </w:rPr>
        <w:t>E. 8</w:t>
      </w:r>
    </w:p>
    <w:p>
      <w:r>
        <w:t>A ce stade, il convient donc de déterminer si A._______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au moment de la signature de la déclaration commune (cf. consid. 5.4 ci-avant et la jurisprudence citée).</w:t>
      </w:r>
    </w:p>
    <w:p>
      <w:r>
        <w:rPr>
          <w:b/>
        </w:rPr>
        <w:t>E. 8.1</w:t>
      </w:r>
    </w:p>
    <w:p>
      <w:r>
        <w:t>A ce sujet, le recourant a essentiellement fait valoir qu'il formait une union conjugale effective et stable avec son épouse jusqu'aux événements survenus le 15 juin 2009, en précisant à ce propos que sa fille avait été victime d'un accident tragique et que son épouse avait fait de fausses accusations lorsqu'elle avait relaté ce qui s'était passé au domicile conjugal le 15 juin 2009.</w:t>
      </w:r>
    </w:p>
    <w:p>
      <w:r>
        <w:rPr>
          <w:b/>
        </w:rPr>
        <w:t>E. 8.2</w:t>
      </w:r>
    </w:p>
    <w:p>
      <w:r>
        <w:t>Cela étant, si l'altercation du 15 juin 2009 représente certes l'élément déclencheur de la séparation définitive des époux A._______ et B._______, force est cependant de constater que les intéressés étaient déjà confrontés à d'importantes difficultés conjugales avant la survenance de ces événements. A ce sujet, le Tribunal observe que les époux A._______ et B._______ rencontraient des problèmes conjugaux dès le début de leur mariage (cf. la requête de mesures protectrices de l'union conjugale du 1er septembre 2005 p. 2, voir également le jugement de la Cour d'assises du 11 novembre 2010 p. 5, dont il ressort que la police a dû intervenir au domicile conjugal des intéressés en 2002). En outre, suite à une altercation en 2005, les époux ont vécu séparés un moment (cf. le jugement précité p. 5) et B._______ a formé une requête de mesures protectrices de l'union conjugale, expliquant notamment que dès le début du mariage, le couple avait rencontré des difficultés conjugales et que son mari était de caractère dur, autoritaire et violent à son encontre. Elle a par ailleurs souligné que cette situation était devenue insupportable pour elle, qu'elle avait été battue par son mari et qu'elle avait dû solliciter la protection du Centre LAVI à X._______ (cf. la requête du 1er septembre 2005 p. 2). Selon ses propres déclarations, B._______ se sentait prisonnière de son couple, son mari refusant absolument le divorce, de sorte qu'elle s'accommodait de la situation (cf. le jugement du 11 novembre 2010 p. 17). Entendue en qualité de témoin, la mère de B._______ a par ailleurs expliqué que "cela n'[était] jamais très bien allé" entre sa fille et son époux et qu'on ne pouvait pas vraiment parler de péjoration en 2009, dès lors que c'était "toujours mal allé" (cf. le jugement précité p. 8). L'appréciation selon laquelle les époux A._______ et B._______ étaient déjà confrontés à des problèmes conjugaux importants avant l'altercation survenue en juin 2009 est par ailleurs confirmée par les déclarations d'un autre témoin auditionné dans le cadre de la procédure pénale. Un voisin des intéressés a en effet notamment déclaré que le recourant envisageait de retourner au pays lorsque "une ou deux années avant le drame, ça n'allait plus trop entre les époux" (cf. le jugement précité p. 11s). Compte tenu des éléments qui précèdent, il apparaît que les époux A._______ et B._______ rencontraient d'importantes difficultés conjugales bien avant les événements survenus en juin 2009 et que leur union ne pouvait déjà plus être qualifiée de stable au moment de la déclaration de vie commune et de la décision de naturalisation.</w:t>
      </w:r>
    </w:p>
    <w:p>
      <w:r>
        <w:rPr>
          <w:b/>
        </w:rPr>
        <w:t>E. 8.3</w:t>
      </w:r>
    </w:p>
    <w:p>
      <w:r>
        <w:t>Cette appréciation ne saurait être modifiée par les documents que le recourant a versés au dossier dans le but de démontrer que sa communauté conjugale était stable jusqu'en 2009. Tant le fait que les époux continuaient à avoir des activités communes que les messages que B._______ a envoyés à son mari doivent en effet être mis en relation avec la situation de l'intéressée qui "s'accommodait de la situation", bien qu'elle se sente "prisonnière de son couple", son mari refusant absolument le divorce (cf. le jugement de la Cour d'assises du 11 novembre 2010 p. 9 et 17, voir également les déclarations de la belle-mère du recourant, selon lesquelles B._______ ne parvenait pas à obtenir une séparation malgré les difficultés qu'ils rencontraient [p. 8 du jugement]).</w:t>
      </w:r>
    </w:p>
    <w:p>
      <w:r>
        <w:rPr>
          <w:b/>
        </w:rPr>
        <w:t>E. 8.4</w:t>
      </w:r>
    </w:p>
    <w:p>
      <w:r>
        <w:t>Dans ces conditions, le Tribunal ne saurait suivre la thèse du recourant selon laquelle les époux vivaient en communauté conjugale effective et stable jusqu'au "tragique accident" survenu en juin 2009, dès lors qu'il ressort clairement des pièces du dossier que l'union conjugale des époux A._______ et B._______ ne pouvait déjà plus être qualifiée de stable avant la survenance de cette altercation.</w:t>
      </w:r>
    </w:p>
    <w:p>
      <w:r>
        <w:rPr>
          <w:b/>
        </w:rPr>
        <w:t>E. 8.5</w:t>
      </w:r>
    </w:p>
    <w:p>
      <w:r>
        <w:t>Le recourant n'a pas non plus rendu vraisemblable avoir ignoré la gravité de ses problèmes de couple au moment où il a signé, le 20 juin 2008, la déclaration aux termes de laquelle il affirmait vivre avec son épouse sous la forme d'une communauté effective et stable. Le Tribunal estime au contraire que compte tenu des éléments exposés au consid. 8.2 ci-dessus, celui-ci devait avoir conscience du fait que sa communauté conjugale ne pouvait plus être qualifiée de stable et orientée vers l'avenir lorsqu'il a signé la déclaration de vie commune le 20 juin 2008.</w:t>
      </w:r>
    </w:p>
    <w:p>
      <w:r>
        <w:rPr>
          <w:b/>
        </w:rPr>
        <w:t>E. 8.6</w:t>
      </w:r>
    </w:p>
    <w:p>
      <w:r>
        <w:t>Ainsi, à défaut d'éléments convaincants apportés par le recourant, le Tribunal est d'avis qu'il y a lieu de s'en tenir à la présomption de fait, fondée sur l'enchaînement chronologique rapide des événements, selon laquelle l'union formée par les époux A._______ et B._______ ne présentait plus l'intensité et la stabilité requises lors de la signature de la déclaration de vie commune et au moment de la décision de naturalisation facilitée.</w:t>
      </w:r>
    </w:p>
    <w:p>
      <w:r>
        <w:rPr>
          <w:b/>
        </w:rPr>
        <w:t>E. 9</w:t>
      </w:r>
    </w:p>
    <w:p>
      <w:r>
        <w:t>En vertu de l'art. 41 al. 3 LN, sauf décision expresse, l'annulation fait également perdre la nationalité suisse aux membres de la famille qui l'ont acquise en vertu de la décision annulée. En l'espèce, il ne ressort pas du dossier que le recourant aurait eu un enfant depuis l'obtention de sa naturalisation facilitée et l'intéressé n'a par ailleurs fait valoir aucun grief spécifique s'agissant de ce point du dispositif.</w:t>
      </w:r>
    </w:p>
    <w:p>
      <w:r>
        <w:rPr>
          <w:b/>
        </w:rPr>
        <w:t>E. 10</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(cf. l'arrêt du Tribunal administratif fédéral C-5500/2013 du 1er décembre 2014 consid. 12 et la référence citée). Or, les arguments avancés par le recourant pour contester la décision de l'instance inférieure du 10 octobre 2014 ne sont pas susceptibles de justifier une telle exception.</w:t>
      </w:r>
    </w:p>
    <w:p>
      <w:r>
        <w:rPr>
          <w:b/>
        </w:rPr>
        <w:t>E. 11</w:t>
      </w:r>
    </w:p>
    <w:p>
      <w:r>
        <w:t>Il ressort de ce qui précède que, par sa décision du 10 octobre 2014, l'autorité intimée n'a ni violé le droit fédéral ni constaté des faits pertinents de manière inexacte ou incomplète; en outre, cette décision n'est pas inopportune (art. 49 PA). En conséquence, le recours est rejeté. 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Cependant, dans la mesure où le Tribunal a admis la requête d'assistance judiciaire partielle du recourant par décision incidente du 3 mars 2015, 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