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C-6912/2008 vom 23. Februar 2009</w:t>
      </w:r>
    </w:p>
    <w:p>
      <w:r>
        <w:t>Bundesverwaltungsgericht, 2009-02-23, FR</w:t>
      </w:r>
    </w:p>
    <w:p>
      <w:r>
        <w:rPr>
          <w:b/>
        </w:rPr>
        <w:t xml:space="preserve">Quelle: </w:t>
      </w:r>
      <w:r>
        <w:t>https://mcp.opencaselaw.ch/entscheid/bvger_C-6912_2008</w:t>
      </w:r>
    </w:p>
    <w:p>
      <w:r>
        <w:t>FR: TAF C-6912/2008 du 23 février 2009</w:t>
      </w:r>
    </w:p>
    <w:p>
      <w:r>
        <w:t>IT: TAF C-6912/2008 del 23 febbraio 2009</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adressé à l'OAIE, a été transmis par cette autorité au TAF en application de l'art. 8 al. 1 PA. Déposé en temps utile et dans les formes requises (60 LPGA, 21 al. 2 et 52 PA), il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3.4</w:t>
      </w:r>
    </w:p>
    <w:p>
      <w:r>
        <w:t>S'agissant du droit applicable, il convient encore de préciser que la présente procédure est régie par la teneur de la LAI et de son règlement d'exécution dans leur teneur en vigueur au 31 décembre 2007,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w:t>
      </w:r>
    </w:p>
    <w:p>
      <w:r>
        <w:rPr>
          <w:b/>
        </w:rPr>
        <w:t>E. 4</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La recourante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7.1</w:t>
      </w:r>
    </w:p>
    <w:p>
      <w:r>
        <w:t>En l'espèce la décision de refus repose sur l'appréciation du F._______ de l'OAIE, laquelle s'appuie sur la documentation médicale figurant au dossier. Celle-ci n'est pas très abondante, toutefois les avis médicaux concordent quant au diagnostic d'un status après carcinome mammaire gauche, mastectomie et lymphadénectomie chimiothérapie et radiothérapie. Aucun des médecins consultés n'observent de récidive ou de métastase. C'est ce que confirme également le certificat du Dr B._______ du 17 septembre 2007 (au demeurant de teneur strictement identique que celui qu'il avait rédigé en 2006) qui relève toutefois que ce type de cancer présente un haut risque de récurrence. Il ressort de l'expertise E 213 et des deux certificats du Dr B._______ que la recourante subit encore pendant 5 ans une thérapie hormonale.</w:t>
      </w:r>
    </w:p>
    <w:p>
      <w:r>
        <w:rPr>
          <w:b/>
        </w:rPr>
        <w:t>E. 7.2</w:t>
      </w:r>
    </w:p>
    <w:p>
      <w:r>
        <w:t>L'incidence sur la capacité de travail de la recourante est moins le diagnostic de cancer du sein que celui, accessoire du premier, de lymphoedème du bras gauche. Celui était déjà évoqué en 2005 par le Dr D._______ dans l'expertise E 213 qui relevait une légère augmentation volumétrique du bras gauche; en 2006, le rapport du service des urgences de l'hôpital Y._______ qualifie les douleurs au bras gauche de tendinite du sus-épineux et les derniers certificats du Dr B._______ quant à eux ne parlent que de limitations fonctionnelles du bras gauche. Toutefois, la capacité résiduelle de travail proprement dite n'est indiquée précisément par aucun des médecins consultés par la recourante. Certes, dans l'expertise E 213, le Dr D._______ exclut la reprise de l'activité antérieure, sans pour autant s'exprimer clairement sur l'exigibilité d'activités adaptées et sur la mesure où elles pourraient être exercées. Il constate que la recourante est limitée dans ses recherches de travail car elle ne peut pas surélever son bras gauche ni porter des poids avec celui-ci. A la question de savoir si la patiente est susceptible de travailler sur écran, ce médecin répond par la négative invoquant son manque de formation. Dès lors, on comprend mal ce qui autorise le médecin de l'OAIE a imputé à la recourante une capacité de travail de 50 % dans son ancienne activité qui consistait à travailler sous serre, en tant qu'ouvrière agricole, ce qui nécessite à l'évidence une forte sollicitation de son bras gauche. Cette question peut toutefois restée ouverte compte tenu du fait que l'évaluation de l'invalidité a été établie sur la base du salaire susceptible d'être réalisé non pas à mi-temps dans l'activité antérieure mais à 90% dans un travail adapté aux limitations fonctionnelles que présente la recourante.</w:t>
      </w:r>
    </w:p>
    <w:p>
      <w:r>
        <w:rPr>
          <w:b/>
        </w:rPr>
        <w:t>E. 7.3</w:t>
      </w:r>
    </w:p>
    <w:p>
      <w:r>
        <w:t>Ce taux d'activité est celui que propose le Dr F._______de l'OAIE. Le Tribunal de céans ne voit pas de raison de s'en écarter, puisqu'il prend en compte de manière appropriée les limitations fonctionnelles au bras gauche dont souffre la recourante et qui ressortent de la documentation médicale figurant au dossier. Celle-ci ne produit aucun document susceptible de le remettre en cause. Par ailleurs, elle n'exclut pas dans son écriture que, sous l'angle médical, un travail mieux adapté à son état de santé serait exigible; toutefois, elle le réfute pour des motifs (âge et formation) qui n'ont rien à voir avec l'assurance invalidité. Ce sont en effet les répercussions de l'atteinte à la santé sur la capacité de gain qui sont déterminants (cf. ATF 114 V 310 consid. 3c). Le fait que la recourante ne mette pas en valeur sa capacité résiduelle de travail pour des raisons étrangères à l'invalidité ne relève pas de l'assurance-invalidité, car il s'agit là de facteurs qui ne sont pas liés à l'invalidité et que l'AI n'est pas tenue de prendre en charge (RCC 1991 p. 329 consid. 3c). En principe,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 De surcroît,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La reconnaissance de l'invalidité de la recourante par les autorités espagnoles ne doit pas être confondue avec la notion de capacité de travail résiduelle dans une activité convenable, seule pertinente pour la détermination du degré d'invalidité selon la législation suisse.</w:t>
      </w:r>
    </w:p>
    <w:p>
      <w:r>
        <w:rPr>
          <w:b/>
        </w:rPr>
        <w:t>E. 7.4</w:t>
      </w:r>
    </w:p>
    <w:p>
      <w:r>
        <w:t>Finalement, le TAF, suivant l'appréciation du service médical de l'OAIE, est d'avis que la recourante peut exercer à 90% une activité adaptée à son atteinte à la santé. Il est douteux toutefois que ce soit le cas depuis la date retenue par l'autorité, à savoir le 22 avril 2003, compte tenu du fait qu'elle a subi une intervention chirurgicale le 23 avril 2003, laquelle fut suivie d'un protocole de chimiothérapie et de radiographie. Ce point est cependant sans importance. En effet, en dérogation à l'art. 24 LPGA, l'art. 48 al. 2 LAI prévoit que si l'assuré présente sa demande plus de douze mois après la naissance du droit, les prestations ne sont allouées que pour les douze mois précédant le dépôt de la demande. Concrètement, l'autorité de céans peut se limiter à examiner si la recourante avait droit à une rente le 18 octobre 2003 (savoir 12 mois avant le dépôt de la demande) ou si le droit à une rente était né entre cette date et le 17 mai 2007, date de la décision sur opposition attaquée, marquant la limite dans le temps du pouvoir d'examen de l'autorité de recours (ATF 130 V 445 consid. 1.2 et 1.2.1). Rien dans le dossier ne laisse toutefois penser qu'une incapacité de travail post-opératoire eut été de durée à faire naître un droit à une rente limitée dans le temps.</w:t>
      </w:r>
    </w:p>
    <w:p>
      <w:r>
        <w:rPr>
          <w:b/>
        </w:rPr>
        <w:t>E. 8</w:t>
      </w:r>
    </w:p>
    <w:p>
      <w:r>
        <w:t>Il convient encore de déterminer la perte de gain que la recourante subirait dans l'exercice d'une activité médicalement exigible.</w:t>
      </w:r>
    </w:p>
    <w:p>
      <w:r>
        <w:rPr>
          <w:b/>
        </w:rPr>
        <w:t>E. 8.1</w:t>
      </w:r>
    </w:p>
    <w:p>
      <w:r>
        <w:t>L'invalidité dont il convient de rappeler qu'il s'agit d'une notion juridico-économique et non médicale est évaluée, chez les assurés actifs,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(jusqu'au 31 décembre 2002: art 28 al. 2 LAI; du 1er janvier au 31 décembre 2003: art. 1 al. 1 LAI en corrélation avec l'art. 16 LPGA; depuis le 1er janvier 2004: art. 28 al. 2 LAI en corrélation avec l'art. 16 LPGA). Ne sont pas déterminants les critères médico-théoriques, mais bien plutôt les répercussions de l'atteinte à la santé sur la capacité de gain (cf. par analogie, RAMA 1991 no U 130 p. 270 consid. 3b; voir aussi ATF 114 V 310 consid. 3c).</w:t>
      </w:r>
    </w:p>
    <w:p>
      <w:r>
        <w:rPr>
          <w:b/>
        </w:rPr>
        <w:t>E. 8.1.1</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 comme il a déjà été dit (cf. supra consid. 9.4) -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citées). Il est toutefois admis, que lorsqu'un assuré se trouve proche de l'âge de la retraite, il faut se demander, si, de manière réaliste et en appréciant la situation dans son ensemble, celui-ci est en mesure de trouver un emploi sur un marché équilibré du travail (cf. arrêt du Tribunal fédéral I 462/02 du 26 mai 2003 consid. 2.3).</w:t>
      </w:r>
    </w:p>
    <w:p>
      <w:r>
        <w:rPr>
          <w:b/>
        </w:rPr>
        <w:t>E. 8.1.2</w:t>
      </w:r>
    </w:p>
    <w:p>
      <w:r>
        <w:t>A cet égard, la recourante, âgée de 48 ans au moment de la décision litigieuse, était loin d'avoir atteint cet âge critique et les possibilités de mise en valeur de sa capacité résiduelle de travail sur un marché supposé équilibré subsistent (cf. arrêt du Tribunal fédéral I 819/04 du 27 mai 2005, consid. 2.2).</w:t>
      </w:r>
    </w:p>
    <w:p>
      <w:r>
        <w:rPr>
          <w:b/>
        </w:rPr>
        <w:t>E. 8.2.1</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w:t>
      </w:r>
    </w:p>
    <w:p>
      <w:r>
        <w:rPr>
          <w:b/>
        </w:rPr>
        <w:t>E. 8.2.2</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Toutefois, en raison de la disparité des niveaux de rémunération et des coûts de la vie entre les Etats, on ne saurait retenir en principe le montant du dernier salaire obtenu par le recourant dans son Etat de résidence (ATF 110 V 273 consid. 4d; arrêt du Tribunal fédéral I 383/06 du 5 avril 2007 consid. 4.4) ou qu'il aurait pu obtenir, d'où la nécessité pour effectuer la comparaison des salaires de se référer à des données statistiques. C'est à bon droit que l'autorité s'est fiée à l'ESS et non aux statistiques espagnoles (disponibles, contrairement à ce qu'avance l'autorité intimée, sur le site Internet de l'institut national espagnol de la statistique www.ine.es),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8.2.3</w:t>
      </w:r>
    </w:p>
    <w:p>
      <w:r>
        <w:t>En l'espèce, la décision litigieuse fixe le revenu sans invalidité de la recourante à Fr. 3'679.-- par mois en se fondant sur les données résultant de l'ESS 2004 concernant le salaire auquel peuvent prétendre les femmes (niveau de qualification 3) dans le secteur de l'horticulture. Les salaires bruts standardisés se basent sur un horaire de travail de 40 heures, soit une durée hebdomadaire inférieure à la moyenne usuelle dans le secteur primaire en 2004 (42.8 heures, cf. OFS, durée normale du travail dans les entreprises selon la division économique, en heures par semaine, T. 03.02.04.19), ce salaire hypothétique de Fr. 3'679.-- doit donc encore être adapté et s'élève en fait à Fr. 3'936.53 ainsi que l'autorité intimée l'a retenu à juste titre. Compte tenu du fait que la recourante n'est titulaire d'aucune formation, le niveau de qualification retenu est discutable. Toutefois, ce calcul étant favorable à la recourante, la question peut rester ouverte et ce chiffre peut être conservé..</w:t>
      </w:r>
    </w:p>
    <w:p>
      <w:r>
        <w:rPr>
          <w:b/>
        </w:rPr>
        <w:t>E. 8.2.4</w:t>
      </w:r>
    </w:p>
    <w:p>
      <w:r>
        <w:t>Eu égard à la jurisprudence précédemment exposée, le revenu d'invalidité, au demeurant non contesté, a également été correctement établi. En effet, il tient compte des limitations fonctionnelles de la recourante qui doit principalement travailler dans une activité qui ne nécessite pas de surélever le bras gauche ne rien porter de lourd avec ce membre. La moyenne de salaires ressortant de l'ESS 2004 dans les secteurs considérés (ouvrière non qualifiée, vente par correspondance, surveillante de musées dans des activités simples et répétitives de niveau 4), une fois adaptée à l'horaire hebdomadaire moyen dans les entreprises suisses en 2004, donne Fr. 3'794.70.</w:t>
      </w:r>
    </w:p>
    <w:p>
      <w:r>
        <w:rPr>
          <w:b/>
        </w:rPr>
        <w:t>E. 8.2.5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130 V 393 consid. 3.3, ATF 126 V 75 consid. 6, ATF 123 V 150 consid. 2 et les références). En l'espèce, l'OAIE a consenti un abattement de 5 % sur le revenu d'invalide de l'assurée pour tenir compte des circonstances personnelles et professionnelles du cas, ce qui aboutit à un salaire d'invalide de Fr. 3'604.97. Bien que l'autorité aurait dû préciser les facteurs retenus, on comprend qu'il s'agit en l'espèce du fait que la recourante ne peut plus exercer que des activités moyennes à légères. Cette argumentation n'est pas insoutenable, il n'y a donc pas lieu de s'en écarter. Il sied de remarquer que de toute manière, un abattement plus important n'entraînerait aucune modification de la décision litigieuse, le taux d'invalidité restant en deçà des 40% ouvrant le droit à la rente et ce même après la déduction de 10% dû au rendement limité de la recourante qui porte le salaire d'invalide déterminant à Fr. 3'244.47</w:t>
      </w:r>
    </w:p>
    <w:p>
      <w:r>
        <w:rPr>
          <w:b/>
        </w:rPr>
        <w:t>E. 8.3</w:t>
      </w:r>
    </w:p>
    <w:p>
      <w:r>
        <w:t>Le calcul comparatif des revenus fait apparaître un préjudice économique de 18% (3'936.53-3'244.47 x 100 / 3'936.53) une fois arrondi au pour-cent supérieur (ATF 130 V 122 consid. 3.2), taux d'invalidité qui ne donne pas droit à une rente (art. 28 al. 1 LAI). Mal fondé, le recours doit par conséquent être rejeté et la décision sur opposition du 12 mars 2007 confirmée.</w:t>
      </w:r>
    </w:p>
    <w:p>
      <w:r>
        <w:rPr>
          <w:b/>
        </w:rPr>
        <w:t>E. 9</w:t>
      </w:r>
    </w:p>
    <w:p>
      <w:r>
        <w:t>Compte tenu du grief de la recourante qui semble considérer ses cotisations à l'AI suisse comme autant de versements d'épargne privée lui permettant d'exiger des prestations, il n'est pas inutile de brièvement rappeler que l'assurance-invalidité est basée sur le principe de la solidarité actuarielle. Ce fondement de solidarité, propre à toute assurance sociale, signifie que "plusieurs personnes indépendantes les unes des autres, réunies en collectivité, rassemblent des fonds dans le but commun, lorsque survient un événement précis à définir, d'aider l'un de ses membres en couvrant le dommage subi." (GABRIELA RIEMER-KAFKA, La solidarité, toile de fond des assurances sociales, Sécurité sociale [CHSS] 2/2007, p. 59). L'AI vise à couvrir un risque défini juridiquement qui, une fois qu'il se réalise, donne droit à une prestation prévue par la loi qui peut-être fournie soit partiellement soit totalement. Le financement de cette assurance se base principalement sur la capacité économique de l'assuré (par le biais, la plupart du temps, de cotisations salariales). Le seul fait d'avoir participé au financement du risque ne suffit pas pour toucher des prestations, il faut encore que les autres conditions prévues par la loi (cf. consid. 5.5, l'invalidité est une notion juridico-économique) soient satisfaites, ce qui n'est pas le cas en l'espèce.</w:t>
      </w:r>
    </w:p>
    <w:p>
      <w:r>
        <w:rPr>
          <w:b/>
        </w:rPr>
        <w:t>E. 10.1</w:t>
      </w:r>
    </w:p>
    <w:p>
      <w:r>
        <w:t>La décision litigieuse a été rendue après le 1er juillet 2006, entrée en vigueur de l'art. 69 al. 2 LAI soumettant la procédure de recours en matière de contestations portant sur l'octroi ou le refus de prestations de l'AI devant le Tribunal administratif fédéral à des frais de procédure.</w:t>
      </w:r>
    </w:p>
    <w:p>
      <w:r>
        <w:rPr>
          <w:b/>
        </w:rPr>
        <w:t>E. 10.2</w:t>
      </w:r>
    </w:p>
    <w:p>
      <w:r>
        <w:t>La recourante, qui succombe, doit donc s'acquitter des frais de justice fixés, compte tenu de la charge liée à la procédure, à Fr. 400.-- (art. 63 al. 1 règlement du 21 février 2008 concernant les frais, dépens et indemnités fixés par le Tribunal administratif fédéral [FITAF, RS 173.320.2] en relation avec l'art. 69 al. 2 LAI). Ils sont compensés par l'avance de frais déjà versée de Fr. 400.--.</w:t>
      </w:r>
    </w:p>
    <w:p>
      <w:r>
        <w:rPr>
          <w:b/>
        </w:rPr>
        <w:t>E. 10.3</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