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C-6897/2009 vom 29. März 2012</w:t>
      </w:r>
    </w:p>
    <w:p>
      <w:r>
        <w:t>Bundesverwaltungsgericht, 2012-03-29, DE</w:t>
      </w:r>
    </w:p>
    <w:p>
      <w:r>
        <w:rPr>
          <w:b/>
        </w:rPr>
        <w:t xml:space="preserve">Quelle: </w:t>
      </w:r>
      <w:r>
        <w:t>https://mcp.opencaselaw.ch/entscheid/bvger_C-6897_2009</w:t>
      </w:r>
    </w:p>
    <w:p>
      <w:r>
        <w:t>FR: TAF C-6897/2009 du 29 mars 2012</w:t>
      </w:r>
    </w:p>
    <w:p>
      <w:r>
        <w:t>IT: TAF C-6897/2009 del 29 marzo 2012</w:t>
      </w:r>
    </w:p>
    <w:p>
      <w:pPr>
        <w:pStyle w:val="Heading2"/>
      </w:pPr>
      <w:r>
        <w:t>Regeste</w:t>
      </w:r>
    </w:p>
    <w:p>
      <w:r>
        <w:t>Invalidenversicherung (IV)</w:t>
      </w:r>
    </w:p>
    <w:p>
      <w:pPr>
        <w:pStyle w:val="Heading2"/>
      </w:pPr>
      <w:r>
        <w:t>Erwägungen</w:t>
      </w:r>
    </w:p>
    <w:p>
      <w:r>
        <w:rPr>
          <w:b/>
        </w:rPr>
        <w:t>E. 1</w:t>
      </w:r>
    </w:p>
    <w:p>
      <w:r>
        <w:t>Angefochten ist die Verfügung der IVSTA vom 6. Oktober 2009, mit welcher das Gesuch des Beschwerdeführers um Ausrichtung einer Rente der schweizerischen Invalidenversicherung abgewiesen worden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Auf die frist- und formgerecht eingereichte Beschwerde ist demnach einzutreten.</w:t>
      </w:r>
    </w:p>
    <w:p>
      <w:r>
        <w:rPr>
          <w:b/>
        </w:rPr>
        <w:t>E. 2.1</w:t>
      </w:r>
    </w:p>
    <w:p>
      <w:r>
        <w:t>Der Beschwerdeführer ist Staatsangehöriger von Serbien und hat dort seinen Wohnsitz. Die Schweiz hat mit diversen Nachfolgestaaten des ehemaligen Jugoslawiens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 818.1; im Folgenden: Sozialversicherungsabkommen) Anwendung (vgl. BGE 126 V 198 E. 2b, BGE 122 V 381 E. 1 und BGE 119 V 98 E. 3). Nach Art. 2 des Sozialversicherungsabkommens stehen die Staatsangehörigen der Vertragsstaaten in ihren Rechten und Pflichten aus den in seinem Art. 1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vorliegend interessierende Frage, ob die Vorinstanz auf die Neuanmeldung hätte eintreten müssen, allein aufgrund der schweizerischen Rechtsvorschriften (vgl. Art. 1, 2 und 4 des Sozialversicherungsabkommens).</w:t>
      </w:r>
    </w:p>
    <w:p>
      <w:r>
        <w:rPr>
          <w:b/>
        </w:rPr>
        <w:t>E. 2.2</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2.3</w:t>
      </w:r>
    </w:p>
    <w:p>
      <w:r>
        <w:t>In zeitlicher Hinsicht sind grundsätzlich diejenigen materiell-rechtlichen Bestimmungen anzuwenden, die bei der Erfüllung des zu Rechtsfolgen führenden Tatbestandes Geltung hatten (vgl. BGE 103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6. Oktober 2009)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2.4</w:t>
      </w:r>
    </w:p>
    <w:p>
      <w:r>
        <w:t>Vorliegend finden demnach grundsätzlich jene schweizerischen Rechtsvorschriften An­wendung, die bei Erlass der angefochtenen Verfügung vom 6. Oktober 2009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für die Beurteilung der vorliegenden Streitsache wesentliche Bestimmungen und von der Rechtsprechung dazu ent­wickelte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der Beschwerdeführer insge­samt während 123 Monaten Beiträge an die AHV/IV geleistet hat (vgl. act. IVSTA 8), so dass bei frühestmöglichem Anspruchsbeginn die Voraussetzung der Mindestbeitragsdauer für den Anspruch auf eine ordentliche Invalidenrente erfüllt war.</w:t>
      </w:r>
    </w:p>
    <w:p>
      <w:r>
        <w:rPr>
          <w:b/>
        </w:rPr>
        <w:t>E. 3.3</w:t>
      </w:r>
    </w:p>
    <w:p>
      <w:r>
        <w:t>Nach dem am 1. Januar 2004 in Kraft getretenen Art. 28 Abs. 1 IVG hatte ein Versicherter Anspruch auf eine Viertelsrente bei einem Invaliditätsgrad von 40%, auf eine halbe Rente bei einem solchen von 50%, auf eine Dreiviertelsrente bei einem Grad der Invalidität von 60% und auf eine ganze Rente bei einem solchen von 70%. Hieran hat die 5. IV-Revision nichts geändert (Art. 28 Abs. 2 IVG in der ab 1. Januar 2008 geltenden Fassung). Laut Art. 28 Abs. 1ter IVG (in der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stellt diese Regelung nicht eine blosse Auszahlungsvorschrift, sondern eine besondere Anspruchsvoraussetzung dar (BGE 121 V 275 E. 6c). Eine Ausnahme von diesem Prinzip gilt seit dem 1. Juni 2002 nur für Schweizer Bürger und Angehörige von Staaten der EU, denen auch bei einem Invaliditätsgrad ab 40% eine Rente ausgerichtet wird, wenn sie in einem Mitgliedstaat der EU Wohnsitz haben. Keine derartige Ausnahme gilt für Staatsangehörige von Serbien. 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9C_882/2009 vom 1. April 2010, E. 5.2, und 9C_718/2008 vom 2. Dezember 2008, E. 4. 1.1, je mit Hinweisen). Nach Art. 28 Abs. 1 IVG in der ab dem 1. Januar 2008 geltenden Fassung haben jene Versicherte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 Zu beachten ist weiter, dass Rentenleistungen gemäss Art. 48 Abs. 2 IVG (in der diesbezüglich anwendbaren, bis Ende 2007 in Kraft gestandenen Fassung; vgl. auch Art. 29 Abs. 3 ATSG) lediglich für die zwölf der Anmeldung zum Leis­tungsbezug vorangehenden Monate und die folgende Zeit ausgerichtet werden können.</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3.5.1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3.5.2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3.5.3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 Isabelle Häner, Verwaltungsverfahren und Verwaltungsrechtspflege des Bundes, 2. Aufl., Zürich 1998, Rz. 111 und 320; GYGI, a.a.O., S. 274; vgl. auch BGE 122 II 469 E. 4a, BGE 120 1b 229 E. 2b mit Hinweisen).</w:t>
      </w:r>
    </w:p>
    <w:p>
      <w:r>
        <w:rPr>
          <w:b/>
        </w:rPr>
        <w:t>E. 3.5.4</w:t>
      </w:r>
    </w:p>
    <w:p>
      <w:r>
        <w:t>Für den Beweiswert eines Arztberichtes ist entscheidend, ob er für die streitigen Belange umfassend ist, auf allseitigen Untersuchungen beruht, auch die geklagten Beschwerden berücksichtigt, in Kenntnis der IV-Akten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(vgl. BGE 125 V 352 E. 3a, BGE 122 V 160 E. 1c mit Hinweisen; AHI 2001 S. 113 E. 3a; RKUV 1999 Nr. U 332 S. 193 E. 2a/bb und RKUV 1998 Nr. U 313 S. 475 E. 2a).</w:t>
      </w:r>
    </w:p>
    <w:p>
      <w:r>
        <w:rPr>
          <w:b/>
        </w:rPr>
        <w:t>E. 3.5.5</w:t>
      </w:r>
    </w:p>
    <w:p>
      <w:r>
        <w:t>Auch auf Beurteilungen versicherungsinterner Ärzte der Vorinstanz darf nur abgestellt werden, sofern sie schlüssig und nachvollziehbar begründet sowie in sich widerspruchsfrei sind, und keine Indizien gegen ihre Zuverlässigkeit bestehen, wenn sie also den allgemeinen beweisrechtlichen Anforderungen an einen ärztlichen Bericht genügen (vgl. Urteile des Bundesgerichts 9C_323/2009 vom 14. Juli 2009, E. 4.3.1, und des EVG I 694/05 vom 15. Dezember 2006, E. 2, sowie BGE 125 V 351 E. 3.a und E. 3b/ee, je mit Hinweisen). Die RAD-Ärzte müssen sodann über die im Einzelfall erforderlichen persönlichen und fachlichen Qualifikationen verfügen (Urteile des Bundesgerichts 9C_736/2009 vom 26. Januar 2009 E. 2.1, I 142/07 vom 20. November 2007 E. 3.2.3 und I 362/06 vom 10. April</w:t>
      </w:r>
    </w:p>
    <w:p>
      <w:r>
        <w:rPr>
          <w:b/>
        </w:rPr>
        <w:t>E. 4</w:t>
      </w:r>
    </w:p>
    <w:p>
      <w:r>
        <w:t>Im Folgenden ist in Würdigung der relevanten Dokumente zu beurteilen, ob die Vorinstanz den rechtserheblichen Sachverhalt vollständig erhoben, richtig gewürdigt und das Leistungsbegehren vom 7. März 2007 zu Recht mangels anspruchsbegründender Invalidität abgewiesen hat, was vom Beschwerdeführer bestritten wird.</w:t>
      </w:r>
    </w:p>
    <w:p>
      <w:r>
        <w:rPr>
          <w:b/>
        </w:rPr>
        <w:t>E. 4.1</w:t>
      </w:r>
    </w:p>
    <w:p>
      <w:r>
        <w:t>Im Wesentlichen beruht die angefochtene Verfügung auf der Stellungnahme des RAD (Dr. med. A._______) vom 11. August 2009 (vgl. act. IVSTA 51), welchem die folgenden ärztlichen Unterlagen vorlagen: - Dr. med. B._______, Radiologe, führte am 21. Januar 2003 und am 17. Februar 2004 beim Beschwerdeführer einen Ergometrietest durch (vgl. act. IVSTA 41 und 42). Der erste Test musste bei 75W abgebrochen werden. Der zweite Test konnte bis 150W durchgeführt werden Im Laufe des Test von 50W bis zum Ende wurden ST-Streckensenkungen in der posterolateralen Ableitungen registriert, ansteigende in den lateralen und in den posterioren Horizontale bis zu 1mm, nach 20min. TA: 90/60 mmHg keine isch. Veränderungen. - Der Beschwerdeführer wurde am 16. Mai 2007 im Gesundheitszentrum G._______, Abteilung Psychiatrie und Neurologie, untersucht (vgl. act. IVSTA 46). C._______, Psychologe, berichtete insbesondere von schweren Depressionen, einer Destabilisierung des vegetativen Nervensystems, Beschränktheit im Wert- und Ideensystem, Entwicklung von pathologischen Ideen, stetige Besorgtheit wegen irgendjemandem oder irgendetwas, Konzentrationsschwäche, häufige Desorientiertheit und Desorganisiertheit, Rückzug in sozialen Belangen, Ansätze eines psychoorganischen Syndroms und zahlreiche graphomotorische Störungen. Dem Beschwerdeführer wurde eine 100% Arbeitsunfähigkeit attestiert. - Dr. med. D._______, Internist, untersuchte den Beschwerdeführer am 17. Mai 2007 und berichtete, die Aorta habe fibrös veränderte Wände, normale Abmasse, Separation und Durchfluss. Der Linke Vorhof habe normale Abmasse ohne Fremdmasse (vgl. act. IVSTA 43 und 44). - Im Kurzarztbericht vom 13. Juni 2007 diagnostizierte Dr. med. E._______ eine paranoide Psychose (F 22.8) und attestierte dem Beschwerdeführer eine mindestens 70% Arbeitsunfähigkeit (vgl. act. IVSTA 36). Dieselbe Diagnose ergibt sich aus dem unleserlichen Kurzarztbericht vom 9. Mai 2007 (vgl. act. IVSTA 45). - Am 15. Januar 2009 wurde der Beschwerdeführer von verschiedenen Ärzten untersucht. Dipl. Biologe Mg, sci. med. F._______ führte einen Lungenfunktionstest durch und berichtete von einer mittelgradigen obstruktiven Ventilationsstörung mit Anzeichen einer Hyperinflation der Lunge (vgl. act. IVSTA 40). Dr. med. H._______, Internist und Kardiologe, führte ein Ruhe-EKG durch und hielt fest, der Aortendurchmesser in der Wurzel sei normal, die Aortenwände seien sklerotisch verändert. Der linke Vorhof habe einen normalen Durchmesser, die Morphologie der Mitrazipfel sei erhalten, die linke Kammer habe einen normalen Durchmesser, es seien keine segmentalen Ausfälle in der Kinetik sichtbar, die rechten Herzhohlräume hätten normale Durchmesser (vgl. act. IVSTA 38, 39, 47). - Der Beschwerdeführer wurde vom 21. Januar 2009 bis 27. Januar 2009 im medizinischen Zentrum Z._______ wegen einer Angina pectoris behandelt. Dem Beschwerdeführer wurde ein Herzschrittmacher implantiert (vgl. act. IVSTA 49, act. 1). - Dr. med. I._______, Internist, hielt Am 27. Januar 2009 sinngemäss fest, das Gutachten stütze sich unter anderem auf die Berichte Nrn. 5299 vom 3. November 2008 (internistisch), 2097 vom 10. November 2008 (psychiatrisch), 4101 vom 10. November 2008 (augenärztlich), 3899 vom 10. November 2008 (pneumo-phtisiologisch) und 13989 vom 11. November 2008 (chirurgisch). Der Beschwerdeführer leide insbesondere an einer Angina pectoris (I20) und einer anhaltenden wahnhaften Störung (F22.8). Wegen den psychischen Leiden, sei er in psychiatrischer Behandlung. Aufgrund seiner Beschwerden sei der Beschwerdeführer zu 100% arbeitsunfähig (vgl. act. IVSTA 48).</w:t>
      </w:r>
    </w:p>
    <w:p>
      <w:r>
        <w:rPr>
          <w:b/>
        </w:rPr>
        <w:t>E. 4.1.1</w:t>
      </w:r>
    </w:p>
    <w:p>
      <w:r>
        <w:t>In seiner Stellungnahme vom 11. August 2009 hält Dr. med. A._______ fest, dass die diagnostizierte Angina pectoris nur vorrübergehend zu einer Beeinträchtigung geführt, jedoch keine Arbeitsunfähigkeit von langer Dauer verursacht habe. In Bezug auf die psychischen Leiden äusserte Dr. med. A._______ Zweifel an der Diagnose der begutachtenden Ärzte. Da keine psychologischen Tests durchgeführt worden seien und keine klinischen Befunde vorliegen würden, könne nicht auf eine paranoide Psychose geschlossen werden. Mangels Anzeichen und Symptomatik ergäben sich keine objektiven medizinischen Elemente für eine psychische Pathologie, weshalb nicht auf eine Arbeitsunfähigkeit geschlossen werden könne. Trotz dieser Bedenken führte Dr. med. A._______ als Hauptdiagnose paranoide Psychose auf.</w:t>
      </w:r>
    </w:p>
    <w:p>
      <w:r>
        <w:rPr>
          <w:b/>
        </w:rPr>
        <w:t>E. 4.1.2</w:t>
      </w:r>
    </w:p>
    <w:p>
      <w:r>
        <w:t>Diese Schlussfolgerung von Dr. med. A._______ hinsichtlich der psychischen Beeinträchtigungen des Beschwerdeführers ist nicht nachvollziehbar. Aus dem Gutachten von Dr. med. I._______, Internist, vom 15. Januar 2009 ist ersichtlich, dass sich der Beschwerdeführer seit Jahren wegen psychischer Leiden in Behandlung befindet (vgl. act. IVSTA 48) und ihm die begutachtenden Ärzte deswegen eine volle Arbeitsunfähigkeit attestierten. Ausserdem wurde bereits im psychologischen Bericht vom 16. Mai 2007 des Psychologen C._______ festgehalten, dass der Beschwerdeführer an einem psychoorganischen Syndrom und verschiedenen graphomotorischen Störungen leide und er aufgrund seiner psychischen Leiden nicht arbeitsfähig sei (vgl. act. IVSTA 46).</w:t>
      </w:r>
    </w:p>
    <w:p>
      <w:r>
        <w:rPr>
          <w:b/>
        </w:rPr>
        <w:t>E. 4.1.3</w:t>
      </w:r>
    </w:p>
    <w:p>
      <w:r>
        <w:t>Hinzu kommt, dass diverse ärztliche Unterlagen in den Akten fehlen, so der von Dr. med. I._______ in seinem Gutachten vom 27. Januar 2009 erwähnte psychiatrischer Bericht vom 10. November 2008 (vgl. E. 4.1. weiter oben, act. IVSTA 48).</w:t>
      </w:r>
    </w:p>
    <w:p>
      <w:r>
        <w:rPr>
          <w:b/>
        </w:rPr>
        <w:t>E. 4.2</w:t>
      </w:r>
    </w:p>
    <w:p>
      <w:r>
        <w:t>Die Annahme bzw. das Verneinen eines psychischen Gesundheitsschadens setzt eine von einem Facharzt der Psychiatrie nach einem ankerkannten wissenschaftlichen Klassifikationssystem gestellten Diagnose voraus. Ein - in diesem Sinne fachgerecht diagnostiziertes - psychisches Leiden kann nur bei Vorliegen bestimmter Kriterien, namentlich einer psychiatrischen Komorbidität, eine zur Invalidität führenden Einschränkung der Arbeitsfähigkeit zur Folge haben (vgl. BGE 131 V 49 E. 1.1. mit Hinweisen). Die aktenkundigen serbischen Arztberichte sind meist kurz gehalten und ermöglichen keine schlüssige Beurteilung darüber, ob und gegebenenfalls inwieweit die psychischen Leiden des Beschwerdeführers Krankheitswert aufweisen und wie sie sich auf seine Arbeitsfähigkeit auswirken. Entgegen der Beurteilung des RAD-Arztes kann jedoch eine invaliditätsrelevante psychische Erkrankung nicht von vornherein ausgeschlossen werden. Unter diesen Umständen kann vorliegend weder auf die aktenkundigen fachärztlichen serbischen Berichte noch auf die Stellungnahme von Dr. med. A._______ abgestellt werden. Ohne Durchführung ergänzender fachärztlicher Abklärungen und Einholen von medizinischen Berichten ist das Bundesverwaltungsgericht daher nicht in der Lage zu beurteilen, ob und gegebenenfalls ab wann beim Beschwerdeführer eine anspruchsbegründende Invalidität eingetreten ist.</w:t>
      </w:r>
    </w:p>
    <w:p>
      <w:r>
        <w:rPr>
          <w:b/>
        </w:rPr>
        <w:t>E. 4.3</w:t>
      </w:r>
    </w:p>
    <w:p>
      <w:r>
        <w:t>Die Vorinstanz hat somit den rechtserheblichen Sachverhalt nicht vollständig festgestellt und gewürdigt (Art. 43 ff. ATSG sowie Art. 12 VwVG). Die Beschwerde ist daher insofern gutzuheissen, als die angefochtene Verfügung vom 6. Oktober 2009 aufgehoben und die Sache an die Vorinstanz zurückgewiesen wird (Art. 61 Abs. 1 VwVG). Dieses Vorgehen rechtfertigt sich, da im vorinstanzlichen Verfahren rechtserhebliche medizinische Fragen vollständig ungeklärt geblieben sind (vgl. BGE 137 V 210 E. 4.4.1.4).</w:t>
      </w:r>
    </w:p>
    <w:p>
      <w:r>
        <w:rPr>
          <w:b/>
        </w:rPr>
        <w:t>E. 4.4</w:t>
      </w:r>
    </w:p>
    <w:p>
      <w:r>
        <w:t>Die Vorinstanz hat zu den bisherigen psychiatrischen und neuropsychologischen Untersuchungen und Behandlungen weitere ärztliche Unterlagen zu beschaffen. Sie hat eine umfassende medizinische Begutachtung in psychiatrischer und neuropsychologischer Hinsicht bei Spezialärzten und/oder Spezialärztinnen durchführen zu lassen. Im Rahmen der Abklärungen sind die Fragen hinsichtlich Auswirkungen der psychischen Gesundheitsbeeinträchtigungen auf die Arbeits- und Leistungsfähigkeit und hinsichtlich ihres Verlaufs abzuklären und ein rechtsgenügliches Zumutbarkeitsprofil erstellen zu lassen. Die entsprechende Begutachtung kann in Serbien oder in der Schweiz erfolgen. Nach Vorliegen der entsprechenden gutachterlichen Berichte hat die Vorinstanz diese einem RAD-Arzt bzw. einer RAD-Ärztin, welcher bzw. welche über den entsprechenden Facharzttitel verfügt, zur Stellungnahme vorzulegen und danach neu zu verfügen.</w:t>
      </w:r>
    </w:p>
    <w:p>
      <w:r>
        <w:rPr>
          <w:b/>
        </w:rPr>
        <w:t>E. 5</w:t>
      </w:r>
    </w:p>
    <w:p>
      <w:r>
        <w:t>Zu befinden bleibt noch über das Gesuch des Beschwerdeführers betreffend die unentgeltliche Rechtspflege sowie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womit diese keine Verfahrenskosten zu tragen hat. Der Vorinstanz werden keine Verfahrenskosten auferlegt (Art. 63 Abs. 2 VwVG und Art. 6 Bst. B. des Reglementes vom 21. Februar 2008 über die Kosten und Entschädigungen vor dem Bundesverwal­tungsgericht [VGKE, SR. 173.320.2]).</w:t>
      </w:r>
    </w:p>
    <w:p>
      <w:r>
        <w:rPr>
          <w:b/>
        </w:rPr>
        <w:t>E. 5.2</w:t>
      </w:r>
    </w:p>
    <w:p>
      <w:r>
        <w:t>Weder der nicht anwaltlich vertretene obsiegende Beschwerdeführer noch die unterliegende Vorinstanz haben Anspruch auf eine Parteientschädigung (vgl. Art. 64 Abs. 1 VwVG i.V.m. Art. 7 Abs. 1 und 3 VGKE).</w:t>
      </w:r>
    </w:p>
    <w:p>
      <w:r>
        <w:rPr>
          <w:b/>
        </w:rPr>
        <w:t>E. 5.3</w:t>
      </w:r>
    </w:p>
    <w:p>
      <w:r>
        <w:t>Das Gesuch um unentgeltliche Rechtspflege vom 12. April 2010 erweist sich nach diesem Ausgang des Verfahrens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