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C-6895/2011 vom 23. Oktober 2012</w:t>
      </w:r>
    </w:p>
    <w:p>
      <w:r>
        <w:t>Bundesverwaltungsgericht, 2012-10-23, DE</w:t>
      </w:r>
    </w:p>
    <w:p>
      <w:r>
        <w:rPr>
          <w:b/>
        </w:rPr>
        <w:t xml:space="preserve">Quelle: </w:t>
      </w:r>
      <w:r>
        <w:t>https://mcp.opencaselaw.ch/entscheid/bvger_C-6895_2011</w:t>
      </w:r>
    </w:p>
    <w:p>
      <w:r>
        <w:t>FR: TAF C-6895/2011 du 23 octobre 2012</w:t>
      </w:r>
    </w:p>
    <w:p>
      <w:r>
        <w:t>IT: TAF C-6895/2011 del 23 ottobre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25. November 2011 (act. 60) ist die Beschwerdeführerin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25. November 2011 (act. 60), mit welcher der Versicherten bei einem IV-Grad von 65 % mit Wirkung ab 1. Februar 2010 eine Dreiviertelsrente zugesprochen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besitzt die österreichische Staatsbürgerschaft und wohnt in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ab dem 1. Januar 2008 nach den neuen Normen zu prüfen (vgl. zur "pro rata temporis-Regel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spätestens beim Erlass der Verfü­gung vom 25. November 2011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127 V 294 E. 4c in fine, 102 V 165; AHI 2001 S. 228 E. 2b).</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Beim Erlass der angefochtenen Verfügung vom 25. November 2011 (act. 60) lagen der Vorinstanz resp. der IV-Stelle SG insbesondere die nachfolgend zusammengefasst wiedergegebenen ärztlichen Dokumente vor:</w:t>
      </w:r>
    </w:p>
    <w:p>
      <w:r>
        <w:rPr>
          <w:b/>
        </w:rPr>
        <w:t>E. 3.1</w:t>
      </w:r>
    </w:p>
    <w:p>
      <w:r>
        <w:t>Dr. med. E._______, Facharzt für Psychiatrie und Psychotherapie, berichtete am 9. Mai 2008, die Versicherte sollte aus gesundheitlichen Gründen nur in einem 60%igen Pensum arbeiten (act. 17 S. 3). Am 12. November 2008 führte er aus, die Versicherte stehe seit April in seiner Behandlung und könne aus gesundheitlichen Gründen derzeit und bis auf weiteres nur zu 30 % arbeiten (act. 4 S. 1 bzw. 17 S. 1). Mit Datum vom 2. Februar 2009 reduzierte Dr. med. E._______ das mögliche Pensum auf 20 % (act. 4 S. 2; vgl. zum Ganzen auch act. 8 S. 7 bzw. 17 S. 2). Am 20. November 2009 informierte der RAD-Arzt Dr. med. C._______, Facharzt für Psychiatrie und Psychotherapie, darüber, dass gemäss Auskunft von Dr. med. B._______ die Versicherte bei Vorliegen einer mittelgradig ausgeprägten depressiven Störung noch nicht ausreichend psychisch stabil sei, um berufliche Massnahmen durchführen zu können. Ziel der therapeutischen Bemühungen sei, dass die Versicherte wieder auf Vorjahresniveau als Handarbeitslehrerin arbeiten könne, was wohl frühestens zum Sommerschuljahr 2010 in Betracht komme (act. 23 und 24 S. 2 bzw. 29 und 31 S. 2). In seinem Bericht vom 7. Juni 2010 diagnostizierte Dr. med. B._______, Facharzt für Psychiatrie und Psychotherapeutische Medizin, eine rezidivierende depressive Störung, gegenwärtig mittelgradige bis schwere depressive Episode ohne psychotische Symptome (ICD-10: F33.2) sowie eine Panikstörung (ICD-10: F41.0). Prognostisch führte er weiter aus, die Weiterentwicklung der affektiven Störung sei derzeit noch nicht abschätzbar. Sollte in den nächsten Monaten keine wesentliche Besserung eintreten, bestehe die Gefahr einer Chronifizierung mit Therapieresistenz. Seit 1. August 2009 bestehe in der angestammten Lehrtätigkeit bis auf weiteres eine 100%ige Arbeitsunfähigkeit. Die bisherige Tätigkeit sei höchstens im Rahmen einer 20%igen Anstellung zumutbar, und in einer leidensadaptierten Tätigkeit bestehe eine Arbeits- bzw. Leistungsfähigkeit von 20 % (act. 32 S. 1 bis 5). Im Verlaufsbericht vom 18. August 2010 informierte Dr. med. B._______ darüber, dass die Versicherte am 1. August begonnen habe, in einem 20%igen Pensum an ihrem angestammten Arbeitsplatz in der Schule zu unterrichten. Sie beschreibe dabei, rasch an ihre obere Belastbarkeitsgrenze zu stossen. In Beurteilung des momentanen Verlaufs könne davon ausgegangen werden, dass ab 2011 die Arbeitsbelastung auf 50 % ausgedehnt werden könne. Unter der hohen Vulnerabilität sei natürlich immer wieder mit Rückfällen zu rechnen (act. 33). In einem weiteren Verlaufsbericht vom 9. Februar 2011 erwähnte Dr. med. B._______ eine rezidivierende depressive Störung, gegenwärtig mittelgradige depressive Episode (ICD-10: F33.1), welche seit mindestens April 2008 bestehe und welche im Wechsel ein Bild zwischen mittel- und schwergradiger depressiver Ausprägung zeige. Seit August 2010 habe sich die Versicherte auf niedrigem Funktionsniveau stabilisiert. Sie gehe ihrem angestammten Beruf als Lehrerin zu 20 % nach, sei aber nur sehr gering belastbar. Die geringe berufliche Tätigkeit habe zusätzlich zur Tagesstrukturierung und Stabilisierung auf niedrigem Niveau beigetragen. Aufgrund der Chronifizierung der Depression sei in absehbarer Zeit mit keiner wesentlichen Besserung zu rechnen (act. 38). In seinem Bericht vom 29. April 2011 führte Dr. med. C._______ vom RAD unter Hinweis auf die Berichte von Dr. med. B._______ insbesondere aus, der Gesundheitszustand habe bis anhin trotz regelmässiger fachärztlicher und medikamentöser Therapie nicht auf Vorniveau verbessert werden können. Dieser habe sich im Längsschnitt auf mittelgradig ausgeprägtem Niveau bewegt, sodass inzwischen bis auf weiteres von einer Chronifizierung auf diesem Niveau ausgegangen werden müsse. Weiter gab Dr. med. C._______ die von Dr. med. B._______ und dem Arbeitgeber gemachten Angaben betreffend die Arbeitsfähigkeit bzw. das Pensum wieder und hielt betreffend eine leidensadaptierte Tätigkeit dafür, dass in kognitiv nicht anspruchsvollen (d.h. geringe Ansprüche an Aufmerksamkeit, Konzentration und Durchhaltevermögen) und in klar strukturierten Tätigkeiten mit geringem zwischenmenschlichem Konfliktpotential medizinisch-theoretisch eine 50%ige Arbeitsfähigkeit anzunehmen sei (act. 41).</w:t>
      </w:r>
    </w:p>
    <w:p>
      <w:r>
        <w:rPr>
          <w:b/>
        </w:rPr>
        <w:t>E. 3.2.1</w:t>
      </w:r>
    </w:p>
    <w:p>
      <w:r>
        <w:t>Bei der Stellungnahmen von Dr. med. C._______ vom 20. November 2009 und 29. April 2011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3.2.2</w:t>
      </w:r>
    </w:p>
    <w:p>
      <w:r>
        <w:t>Wie bereits dargelegt wurde (vgl. E. 2.6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der Bericht von Dr. med. C._______ vom 29. April 2011 nicht über den Umfang einer Expertise verfügt, erfüllt er die von der Rechtsprechung an den Beweiswert gestellten Kriterien, da er schlüssig und überzeugend ist. Hinzu kommt, dass Dr. med. C._______ - mit Blick auf das von den Dres. med. E._______ und B._______ fachärztlicherseits diagnostizierte depressive Geschehen - ebenfalls über eine, in der Regel zwingend notwendige fachärztliche Qualifikation auf dem Gebiet der Psychiatrie und Psychotherapie verfügt. Demnach lässt sich der gesundheitliche Zustand der Beschwerdeführerin und dessen Auswirkungen auf die Arbeits- und Leistungsfähigkeit im massgeblichen Verfügungszeitpunkt vom 25. November 2011 zuverlässig beurteilen.</w:t>
      </w:r>
    </w:p>
    <w:p>
      <w:r>
        <w:rPr>
          <w:b/>
        </w:rPr>
        <w:t>E. 3.2.3</w:t>
      </w:r>
    </w:p>
    <w:p>
      <w:r>
        <w:t>Hinsichtlich der Arbeitsfähigkeit als Lehrkraft verwies Dr. med. C._______ auf die Beurteilung von Dr. med. B._______. Es ist demnach - in Übereinstimmung der Auffassung dieser beiden Fachärzte - davon auszugehen, dass die Beschwerdeführerin in ihrer angestammten Tätigkeit als Lehrkraft ab 12. November 2008 zu 70 %, ab 2. Februar 2009 zu 80 %, ab 1. August 2009 zu 100 % und ab 1. August 2010 wieder zu 80 % arbeitsunfähig war resp. ist. Beizufügen ist, dass sich aus den Ausführungen von Dr. med. B._______, seit 1. August 2009 bestehe in der angestammten Lehrtätigkeit bis auf weiteres eine 100%ige Arbeitsunfähigkeit und die bisherige Tätigkeit sei höchstens im Rahmen einer 20%igen Anstellung zumutbar, insofern kein Widerspruch, als dass sich letztere Angaben offensichtlich auf die ab August 2010 attestierte 20%ige Arbeitsfähigkeit resp. das Pensum als Lehrkraft bezog, das die Versicherte ab dem genannten Zeitpunkt wieder ausüben kann.</w:t>
      </w:r>
    </w:p>
    <w:p>
      <w:r>
        <w:rPr>
          <w:b/>
        </w:rPr>
        <w:t>E. 3.2.4</w:t>
      </w:r>
    </w:p>
    <w:p>
      <w:r>
        <w:t>Zwar beantwortete Dr. med. B._______ die Frage, in welchem Umfang und seit wann eine behinderungsangepasste Tätigkeit mit welchem Belastungsprofil möglich sei, damit, dass ab August 2010 eine 20%ige Tätigkeit zumutbar sei. Der Schluss, dass sich diese Aussage von Dr. med. B._______ in seiner Eigenschaft als ausländischer Facharzt auf die Lehrtätigkeit bezog, liegt insofern nahe, als dass er keinerlei weiterführenden Angaben zu einer Verweistätigkeit gemacht hatte. Diese Frage kann letztlich jedoch - in Anwendung der antizipierten Beweiswürdigung (vgl. hierzu BGE 122 V 157 E. 1d; SVR 2005 IV Nr. 8 S. 37 E. 6.2, 2003 AHV Nr. 4 S. 11 E. 4.2.1) - insbesondere mit Blick auf das am 29. April 2011 von Dr. med. C._______ abgegebene schlüssige und zumutbare Zumutbarkeitsprofil offengelassen werden (zur objektiven Festlegung der IV-rechtlich massgebenden funktionellen Leistungsfähigkeit vgl. E. 2.6 und insb. E. 3.2.1. hiervor; vgl. auch Urteil des BGer 9C_1053/2010 vom 28. Januar 2011). An diesem Ergebnis ändert auch der beschwerdeweise nachgereichte Bericht von Dr. med. B._______ vom 7. März 2012, welcher vorliegend ebenfalls Berücksichtigung findet (vgl. hierzu Urteil des Bundesgerichts 8C_278/2011 vom 26. Juli 2011 E. 5.5, 9C_116/2010 vom 20. April 2010 E. 3.2.2; BGE 121 V 362 E. 1b, BGE 18 V 200 E. 3a und BGE 116 V 80 E. 6b), nichts, zumal sich die Angaben in diesem Bericht erneut ausschliesslich auf die angestammte Tätigkeit der Beschwerdeführerin bezogen.</w:t>
      </w:r>
    </w:p>
    <w:p>
      <w:r>
        <w:rPr>
          <w:b/>
        </w:rPr>
        <w:t>E. 3.3</w:t>
      </w:r>
    </w:p>
    <w:p>
      <w:r>
        <w:t>Aufgrund der vorstehenden Erwägungen ist zusammenfassend festzuhalten, dass sich aufgrund der vorliegenden medizinischen Dokumente der Gesundheitszustand und dessen Auswirkungen auf die Arbeitsfähigkeit rechtsgenüglich beurteilen lassen. Da die Beschwerdeführerin trotz Verwertung ihrer zumutbaren Restarbeitsfähigkeit in der angestammten Lehrtätigkeit im Ausmass von höchstens 20 % kein rentenausschliessendes Invalideneinkommen erzielen kann und die Invalidität nicht mittels eines Prozentvergleichs bemessen werden kann (vgl. zur Zulässigkeit des Prozentvergleichs Urteil des BGer 9C_785/2009 vom 2. Dezember 2009 E. 2.2 mit Hinweisen auf BGE 114 V 310 E. 3a S. 312; 104 V 135 E. 2b S. 137), ist nachfolgend ein bezifferter Einkommensvergleich durchzuführen resp. die Invalidität nach der allgemeinen Methode des Einkommensvergleichs zu bemessen; die diesbezügliche Vorgehensweise der Vorinstanz resp. der IV-Stelle SG gibt mit Blick auf die Abklärungsergebnisse (act. 42 bis 44, 46 und 47) zu keinen Beanstandungen Anlass.</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Weder die Einführung des ATSG noch die 4. IV-Revision haben daran etwas geändert (BGE 130 V 343 E. 3.4.2; RKUV 2004 U 529 S. 574 E. 1.2; statt vieler: Entscheid I 117/06 des EVG vom 23. Mai 2006, E. 2). Bezüglich der Anpassung an die Lohnentwicklung ist nach Geschlechtern zu differenzieren, d.h. es ist auf den Lohnindex für Frauen oder Männer abzustellen (BGE 129 V 408).</w:t>
      </w:r>
    </w:p>
    <w:p>
      <w:r>
        <w:rPr>
          <w:b/>
        </w:rPr>
        <w:t>E. 4.2.1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4.2.2</w:t>
      </w:r>
    </w:p>
    <w:p>
      <w:r>
        <w:t>Die Vorinstanz resp. die IV-Stelle SG stützte sich bei der Erstellung des Einkommensvergleichs auf die im Jahre 2009 vorgelegenen Verhältnisse, was sich aufgrund der vorliegenden Akten nicht beanstanden lässt. Die IV-Stelle SG resp. die Vorinstanz gingen von einem hypothetischen Valideneinkommen im Jahre 2009 von Fr. 111'662.- aus (act. 49), was mit Blick auf die Angaben im Fragebogen für Arbeitgebende vom 10. August 2009 (act. 11) zu keinen Beanstandungen Anlass gibt resp. auch von der Beschwerdeführerin nicht moniert wurde.</w:t>
      </w:r>
    </w:p>
    <w:p>
      <w:r>
        <w:rPr>
          <w:b/>
        </w:rPr>
        <w:t>E. 4.3</w:t>
      </w:r>
    </w:p>
    <w:p>
      <w:r>
        <w:t>Hinsichtlich des jährlichen hypothetischen Invalideneinkommens ergibt sich Folgendes:</w:t>
      </w:r>
    </w:p>
    <w:p>
      <w:r>
        <w:rPr>
          <w:b/>
        </w:rPr>
        <w:t>E. 4.3.1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4.3.2</w:t>
      </w:r>
    </w:p>
    <w:p>
      <w:r>
        <w:t>Der RAD-Arzt Dr. med. C._______ führte in seiner schlüssigen und überzeugenden Stellungnahme vom 29. April 2011 aus, in kognitiv nicht anspruchsvollen (d.h. geringe Ansprüche an Aufmerksamkeit, Konzentration und Durchhaltevermögen) und in klar strukturierten Tätigkeiten mit geringem zwischenmenschlichem Konfliktpotential sei medizinisch-theoretisch eine 50%ige Arbeitsfähigkeit anzunehmen (act. 41; vgl. auch E. 3.1 hiervor). Der Vorinstanz ist zwar beizupflichten, dass das hypothetische Invalideneinkommen unter Beizug der Tabellenlöhne gemäss den LSE zu bestimmen ist. Mit Blick auf das von Dr. med. C._______ abgegebene klare und unmissverständliche Zumutbarkeitsprofil kann jedoch nicht der Lohn der LSE im Wirtschaftszweig Unterrichtswesen herangezogen werden. Zwar beinhaltet dieser Wirtschaftszweig nebst den Löhnen von Lehrkräften auch diejenigen des technisch-administrativen Personals des Unterrichtswesens (z.B. Abwarte und Abwartinnen, Sekretäre und Sekretärinnen, Hersteller und Herstellerinnen von Apparaturen in Universitäten; vgl. www.bfs.admin.ch &gt; Themen &gt; Arbeit, Erwerb &gt; Publikationen &gt; die schweizerische Lohnstrukturerhebung 2004, Resultate auf nationaler Ebene, S. 15; zuletzt besucht am 19. September 2012). Da jedoch der prozentuale Anteil der Lehrkräfte denjenigen des technisch-administrativen Personals deutlich überschreiten dürfte, eine Lehrtätigkeit stets Anforderungen an Aufmerksamkeit und Konzentration der Lehrperson beinhaltet resp. ein gewisses zwischenmenschliches Konfliktpotential in sich birgt und die Beschwerdeführerin in diesem Bereich höchstens ein 20%iges Pensum zu erfüllen vermag, kann nicht der (statistische) Lohn des Wirtschaftszweiges Unterrichtswesen herangezogen werden, zumal die Versicherte über keine technisch-administrative Ausbildung verfügt. Mit Blick auf das von Dr. med. C._______ beschriebene Leistungskalkül ist vielmehr der Totalwert heranzuziehen. Vorliegend kann offengelassen werden, ob das von der Vorinstanz resp. der IV-Stelle SG herangezogene Anforderungsniveau 3 oder das Anforderungsniveau 4 (einfache und repetitive Tätigkeiten) heranzuziehen ist, da selbst die Berücksichtigung des statistischen Lohnes mit Berufs- und Fachkenntnissen zu einem IV-Grad von über 70 % führt: Gemäss LSE 2008, Tabelle TA1, belief sich der Totalwert für Frauen mit Berufs- und Fachkenntnissen im privaten Sektor auf monatlich brutto Fr. 5'095.- bei einer wöchentli­chen Arbeitszeit von 40 Stunden und inkl. 13. Monatslohn (abrufbar unter www.bfs.admin.ch &gt; Themen &gt; Arbeit, Erwerb &gt; Publikationen &gt; die schweizerische Lohnstrukturerhebung 2008, Tabelle TA1, S. 26; zuletzt besucht am 19. September 2012). Unter Um­rechnung dieses Einkommens auf die betriebsübliche wöchentliche Arbeitszeit von 41.6 Stunden im Jahr 2009 (abrufbar unter www.bfs.admin.ch &gt; Themen &gt; Arbeit, Er­werb &gt; Erwerbstätigkeit und Arbeitszeit &gt; detaillierte Daten &gt; Statistik der betriebsüblichen Arbeits­zeit &gt; Be­triebsübliche Arbeitszeit nach Wirtschaftsabteilungen, in Stun­den pro Woche 1990-2008, Total; zuletzt besucht am 19. September 2012) und unter Berücksichtigung der Nominallohnentwicklung von 2008 bis 2009 (abrufbar unter www.bfs.admin.ch &gt; Themen &gt; Arbeit und Erwerb &gt; Löhne, Erwerbseinkommen &gt; detaillierte Daten &gt; schweizerischer Lohnindex nach Wirtschaftszweigen, Tabelle T1.2.93, Frauen, Total, Wert 2008: 123.5; Wert 2009: 126.1; zuletzt besucht am 19. September 2012) resultiert demnach als Zwischenergebnis ein hypo­thetisches Invalideneinkommen von jährlich Fr. 64'924.-. Da die Beschwerdeführerin in einer leidensadaptierten Verweistätigkeit zu 50 % leistungsfähig ist, reduziert sich dieses hypothetische Invalideneinkommen auf Fr. 32'462.-.</w:t>
      </w:r>
    </w:p>
    <w:p>
      <w:r>
        <w:rPr>
          <w:b/>
        </w:rPr>
        <w:t>E. 4.4</w:t>
      </w:r>
    </w:p>
    <w:p>
      <w:r>
        <w:t>Der Einkommensvergleich ergibt bei einem hypothetischen Valideneinkommen von Fr. 111'662.- pro Jahr und einem massgebenden hypothetischen Invalideneinkommen von Fr. 32'462.- pro Jahr bei einer Erwerbseinbusse von Fr. 79'200.- einen IV-Grad von 71 % (zur Rundung vgl. BGE 130 V 121 E. 3.2 und 3.3), was Anspruch auf eine ganze Rente der IV ergibt. Unter diesen Umständen kann die Frage nach der Vornahme eines zusätzlichen leidensbedingten Abzugs offengelassen werden. In Berücksichtigung des Anmeldedatums vom 3. Juli 2009 und in Anwendung von Art. 29 Abs. 1 IVG legte die Vorinstanz den Anspruchsbeginn somit in korrekter Art und Weise auf den 1. Februar 2010 fest (vgl. E. 2.2 und 4.4.2. hiervor).</w:t>
      </w:r>
    </w:p>
    <w:p>
      <w:r>
        <w:rPr>
          <w:b/>
        </w:rPr>
        <w:t>E. 5</w:t>
      </w:r>
    </w:p>
    <w:p>
      <w:r>
        <w:t>Aufgrund der vorstehenden Erwägungen ist zusammenfassend festzustellen, dass die Beschwerdeführerin ab 1. Februar 2010 Anspruch auf eine ganze Rente der IV hat. Die Beschwerde vom 22. Dezember 2011 ist deshalb gutzuheissen und die angefochtene Verfügung vom 25. November 2011 aufzuheben. Die Vorinstanz ist anzuweisen, eine neue Verfügung zu erlassen und der Versicherten die entsprechenden Rentenbe-treffnisse - unter Berücksichtigung von Art. 26 ATSG - rückwirkend auszurichten.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können allerdings keine Verfahrenskosten auferlegt werden (Art. 63 Abs. 2 VwVG). Der obsiegenden Beschwerdeführerin sind ebenfalls keine Kosten aufzuerlegen. Dieser ist der geleistete Verfahrenskostenvorschuss von Fr. 400.- nach Eintritt der Rechtskraft des vorliegenden Urteils zurückzuerstatten.</w:t>
      </w:r>
    </w:p>
    <w:p>
      <w:r>
        <w:rPr>
          <w:b/>
        </w:rPr>
        <w:t>E. 6.2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