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C-6887/2010 vom 12. Oktober 2012</w:t>
      </w:r>
    </w:p>
    <w:p>
      <w:r>
        <w:t>Bundesverwaltungsgericht, 2012-10-12, DE</w:t>
      </w:r>
    </w:p>
    <w:p>
      <w:r>
        <w:rPr>
          <w:b/>
        </w:rPr>
        <w:t xml:space="preserve">Quelle: </w:t>
      </w:r>
      <w:r>
        <w:t>https://mcp.opencaselaw.ch/entscheid/bvger_C-6887_2010</w:t>
      </w:r>
    </w:p>
    <w:p>
      <w:r>
        <w:t>FR: TAF C-6887/2010 du 12 octobre 2012</w:t>
      </w:r>
    </w:p>
    <w:p>
      <w:r>
        <w:t>IT: TAF C-6887/2010 del 12 ottobre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Das Verfahren vor dem Bundes­verwaltungsgericht richtet sich ge­mäss Art. 37 VGG nach dem VwVG, soweit das Verwaltungsgerichts-gesetz nichts ande­res bestimmt (vgl. auch Art. 2 Abs. 4 VwVG).</w:t>
      </w:r>
    </w:p>
    <w:p>
      <w:r>
        <w:rPr>
          <w:b/>
        </w:rPr>
        <w:t>E. 1.3</w:t>
      </w:r>
    </w:p>
    <w:p>
      <w:r>
        <w:t>Die Beschwerdeführerin ist als Verfügungsadressatin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sowie BVGE 2007/41 E.2 und Urteil des BVGer A-2682/2007 vom 7. Oktober 2010 E. 1.2 und 1.3). 3.3.1 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3.2 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293 ff. 310). Ein Hinweis auf den fehlenden Willen der Eheleute, die eheliche Gemeinschaft aufrecht zu erhalten, kann beispielsweise im Umstand lie­gen, dass kurze Zeit nach der erleichterten Einbürgerung die Tren­nung erfolgt oder die Scheidung eingeleitet wird (BGE 135 II 161 E. 2 S. 165 mit Hinweis), oder auch darin, dass die gesuchstellende Person während der Ehe ein aussereheliches Kind zeugt (Urteil des Bundesgerichts 1C_27/2011 vom 21. März 2011 E. 6.4.1). 3.3 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165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Im Verfahren betreffend Nichtigerklärung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135 II 161 E. 3 S. 166 mit Hinweisen). 5.Die formellen Voraussetzungen der Nichtigerklärung sind vorliegend erfüllt. Die Kantone Basel-Stadt und Thurgau als Heimatkantone haben die Zustimmung zur Nichtigerklärung der erleichterten Einbürgerung erteilt und die Verfügung betreffend Nichtigerklärung wurde der Beschwerdeführerin innerhalb der gesetzlichen Frist von aArt. 41 Abs. 1 BüG eröffnet (zur Fristberechnung vgl. Urteil des Bundesgerichtes 1C_336/2010 vom 28. September 2010 E. 3.3).</w:t>
      </w:r>
    </w:p>
    <w:p>
      <w:r>
        <w:rPr>
          <w:b/>
        </w:rPr>
        <w:t>E. 6.1</w:t>
      </w:r>
    </w:p>
    <w:p>
      <w:r>
        <w:t>Aus den Akten geht hervor, dass die Beschwerdeführerin erstmals im Jahr 1998 in die Schweiz einreiste. In der Folge stellte sie ein Asylgesuch. Das BFF lehnte das Gesuch am 20. August 1998 ab und verfügte die Wegweisung. Eigenen Angaben zufolge reiste sie Ende des Jahres nach Deutschland. Im Juni 1999 gelangte sie erneut in die Schweiz und stellte ein weiteres Asylgesuch. Mit der Heirat eines Schweizer Bürgers am 21. Oktober 1999 verschaffte sie sich ein dauerhaftes Aufenthaltsrecht in der Schweiz. Am 1. März 2003 stellte die Beschwerdeführerin ein Gesuch um erleichterte Einbürgerung. Nachdem die Eheleute am 27. August 2005 die gemeinsame Erklärung zum Bestand der ehelichen Gemeinschaft abgegeben hatten, wurde die Beschwerdeführerin am 30. August 2005 erleichtert eingebürgert. Einen knappen Monat später gebar sie ein Kind. Am darauffolgenden Tag beantragte der Ehemann der Beschwerdeführerin beim Zivilgericht Basel-Stadt die Vaterschaftsaberkennung. Mit Urteil vom 16. März 2006 wurde festgestellt, dass zwischen der Tochter der Beschwerdeführerin und deren Ehemann kein Kindsverhältnis besteht. Am 27. April 2006 bewilligte das Zivilgericht Basel-Stadt den Ehegatten das Getrenntleben und stellte fest, dass die Ehegatten bereits getrennt leben.</w:t>
      </w:r>
    </w:p>
    <w:p>
      <w:r>
        <w:rPr>
          <w:b/>
        </w:rPr>
        <w:t>E. 6.2</w:t>
      </w:r>
    </w:p>
    <w:p>
      <w:r>
        <w:t>Der geschilderte Sachverhalt zeigt auf, dass sich die Beschwerdeführerin nur mittels Heirat eines Schweizer Bürgers einen geregelten Aufenthalt verschaffen konnte. Dieser Umstand begründet im Zusammenhang mit der chronologischen Abfolge der Ereignisse - das nur knapp rund sieben Monate nach der erleichterten Einbürgerung eingereichte Gesuch um Aufhebung des gemeinsamen ehelichen Haushalts und die anschliessende Trennung innert Monatsfrist - sowie der Geburt eines ausserehelichen Kindes knapp einen Monat nach der erleichterten Einbürgerung ohne Zweifel die tatsächliche Vermutung, die Beschwerdeführerin habe bereits zum Zeitpunkt der erleichterten Einbürgerung nicht mehr in einer stabilen, intakten und auf die Zukunft gerichteten ehelichen Gemeinschaft mit ihrem Ehemann gelebt.</w:t>
      </w:r>
    </w:p>
    <w:p>
      <w:r>
        <w:rPr>
          <w:b/>
        </w:rPr>
        <w:t>E. 6.3</w:t>
      </w:r>
    </w:p>
    <w:p>
      <w:r>
        <w:t>Es ist daher zu prüfen, ob die Beschwerdeführerin in der Lage ist, die Vermutung zu widerlegen. Dazu braucht sie nicht den Nachweis zu erbringen, dass die Ehe mit dem Schweizer Bürger zum massgeblichen Zeitpunkt intakt war, denn eine tatsächliche Vermutung führt nicht zur Umkehr der Beweislast. Es genügt, wenn die Beschwerdeführerin eine plausible Alternative zu der dargestellten Vermutungsfolge präsentieren kann. Sie kann den Gegenbeweis erbringen, indem sie glaubhaft den Eintritt eines ausserordentlichen Ereignisses dartut, das geeignet ist, den raschen Verfall der ehelichen Bande zu erklären, oder indem sie glaubhaft darlegt, dass sie sich der ehelichen Probleme nicht bewusst gewesen war und sie demzufolge zum Zeitpunkt, als sie die Erklärung unterzeichnete, den wirklichen Willen hatte, weiterhin eine stabile eheliche Beziehung aufrecht zu halten (vgl. BGE 135 II 161 E. 3 S. 166 mit Hinweisen).</w:t>
      </w:r>
    </w:p>
    <w:p>
      <w:r>
        <w:rPr>
          <w:b/>
        </w:rPr>
        <w:t>E. 7.1</w:t>
      </w:r>
    </w:p>
    <w:p>
      <w:r>
        <w:t>Die Beschwerdeführerin bringt vor, der gerichtlichen Trennung von ihrem Ehemann habe nie eine tatsächliche Trennungsabsicht zu Grunde gelegen, sondern vielmehr der Umstand, dass ihr Ehemann seit längerem arbeitslos gewesen sei und per Ende Juni 2004 ausgesteuert worden sei. Da er bis März 2006 von seinem Guthaben der zweiten Säule gelebt habe, habe er erst ab April 2006 Sozialhilfe beziehen können. Sie selbst habe damals einen Nettolohn von rund Fr. 2'980.-- inkl. Kinderzulagen erzielt, welcher in die Berechnung der Höhe der Sozialhilfe einbezogen worden wäre, hätten sie sich nicht getrennt. Bei derart knappen finanziellen Verhältnissen werde dem Anspruchsberechtigten häufig, selbst von Mitarbeitern der Sozialämter, geraten, sich gerichtlich trennen zu lassen, um höhere Sozialhilfebeiträge zu erhalten. Auch aus dem Umstand, dass ihr Ehemann ihre Tochter habe gerichtlich aberkennen lassen, könne nichts zu ihren Ungunsten abgeleitet werden. Ihr Ehemann könne keine Kinder zeugen und medizinische Massnahmen seien aufgrund ihrer finanziellen Situation nicht möglich gewesen. Deshalb habe sie sich für einen "One-Night-Stand" entschieden, um sich den Kinderwunsch zu erfüllen. Ihr Ehemann sei mit dem ausserehelichen Kontakt einverstanden gewesen. Die Vaterschaftsaberkennung ihres Ehemannes sei verständlich, da die Scheidung von seiner ersten Ehefrau schwierig gewesen sei. Er habe damals die elterliche Sorge für seine zwei Adoptivkinder beantragt, sei jedoch lediglich dazu verpflichtet worden, für die Kinder, welche der Mutter zugesprochen worden seien, Unterhalt zu bezahlen. Den Mietvertrag für die Wohnung an der C._______strasse X in Basel vom Juli 2005 habe sie nicht für sich, sondern für eine Bekannte abgeschlossen. Diese habe aufgrund einer blossen Grenzgängerbewilligung in der Schweiz keine Möglichkeit gehabt, einen Mietvertrag abzuschliessen. Ihre Tochter werde teilweise fremd betreut, weil sie arbeite und weil dem Kind eine optimale Integration ermöglicht werden soll. Zudem wohne ihr Ehemann seit dem 1. Februar 2010 wieder mit ihr zusammen. 7.2Die Argumentation der Beschwerdeführerin kann in mehrfacher Hinsicht nicht überzeugen. 7.2.1 Am 22. Juli 2005 hat die Beschwerdeführerin mit dem Vermieter B._______ AG einen Mietvertrag über eine Zweizimmer-Wohnung an der C._______strasse X in Basel abgeschlossen. Mietbeginn war der 1. August 2005. Demzufolge ist davon auszugehen, dass die (damals mit einem ausserehelichen Kind hochschwangere) Beschwerdeführerin rund fünf Wochen vor der erleichterten Einbürgerung nicht mehr in einer stabilen, intakten und auf die Zukunft gerichteten ehelichen Gemeinschaft mit ihrem Ehemann gelebt hat. Die Beschwerdeführerin bringt dagegen vor, sie habe den Mietvertrag für eine in Frankreich lebende Bekannte abgeschlossen. Diese Person habe vom 1. August bis Ende November 2006 in dieser Wohnung gewohnt und sei inzwischen verstorben (vgl. Schreiben der Beschwerdeführerin vom 29. Juni 2010). Diese Angaben widersprechen den Ausführungen des Ehemannes vor Gericht vom 14. März 2006, wo er aussagte, seine Ehefrau wohne jetzt an der C._______strasse. Am 27. April 2006 gab auch die Beschwerdeführerin vor Gericht zu Protokoll, dass sie an der C._______strasse X wohne. Des Weiteren war dem Vermieter der Wohnung kein Untervermietungsverhältnis bekannt, obwohl dies laut Mietvertrag seiner schriftlichen Zustimmung bedurft hätte (vgl. Schreiben der B._______ AG vom 6. August 2010). Zudem gab die Beschwerdeführerin auf dem Anmeldeformular für die neue Wohnung in der Rubrik "Warum wollen Sie die Wohnung wechseln?" an, sie habe Eheprobleme und in die Rubrik "Zivilstand" schrieb sie "verheiratet (fast getrennt)". Überdies wurde sie laut Vermieter im Juli 2005 bei der Einwohnerkontrolle Basel-Stadt angemeldet (vgl. Schreiben des Vermieters vom 6. August 2010 inkl. Beilage 2). Auch finanziell war es der Beschwerdeführerin möglich, zum damaligen Zeitpunkt eine eigene Wohnung zu mieten (vgl. E. 7.1). Die Beschwerdeführerin kann somit nicht belegen, dass eine Bekannte in der Wohnung gewohnt haben soll. Es ist vielmehr davon auszugehen, dass die Beschwerdeführerin bereits rund einen Monat vor der erleichterten Einbürgerung und kurz vor der Geburt ihres Kindes aus der gemeinsamen Wohnung ausgezogen ist. 7.2.2 Gemäss Schreiben der Sozialhilfe der Gemeinde D._______ wurde der Ehemann der Beschwerdeführerin bis März 2009 mit monatlichen Zahlungen unterstützt. Ab 1. April 2009 bestand die Möglichkeit des vorzeitigen Rentenbezugs. Obwohl der angebliche Trennungsgrund (Bezug von Sozialhilfe) wegfiel, wohnten die Ehegatten weiterhin in verschiedenen Wohnungen. Die Beschwerdeführerin hielt dagegen, die Notwohnung ihres Ehemannes sei für ihr Kind unzumutbar. Zählt man die Kosten für die Notwohnung von Fr. 400.- und die Mietkosten der Wohnung der Beschwerdeführerin von Fr. 960.-- zusammen, so ergibt dies ein Betrag von Fr. 1'360.--. Finanziell hätte somit nichts dagegen gesprochen, für die ganze Familie eine einfache Dreizimmer-Wohnung zu mieten. Grund für die Trennung kann somit nicht der Bezug von Sozialhilfe gewesen sein. Überdies geht aus den Aktennotizen der Sozialhilfe der Gemeinde D._______, entgegen der Behauptung der Beschwerdeführerin (vgl. Schreiben vom 31. März 2008), nicht hervor, dass der Ehemann der Beschwerdeführerin explizit darauf hingewiesen worden sein soll, dass er ohne gerichtliche Trennung von seiner Ehefrau keine Sozialhilfe beziehen könne. Ebenso wäre laut Schreiben der Sozialhilfe der Gemeinde D._______ ein Zusammenwohnen der ganzen Familie in der Notwohnung des Ehemannes möglich gewesen. Überdies soll der Ehemann seit Februar 2010 bei der Beschwerdeführerin und ihrem Kind in der C.______strasse X wohnen, weshalb sich die Frage stellt, wieso er mit dem Umzug zehn Monate zugewartet hat, wenn doch behauptet wird, die Ehe sei stabil, intakt und auf die Zukunft ausgerichtet gewesen. Gemäss den Ausführungen der Beschwerdeführerin vom 14. August 2012 leben die Eheleute seit August 2011 erneut getrennt. Grund dafür sei, dass das Einkommen ihres Ehemannes an ihr Sozialhilfebudget angerechnet würde, würden sie zusammen im selben Haushalt leben. Die heutige Situation der Eheleute steht somit der tatsächlichen Vermutung, die Beschwerdeführerin habe zum Zeitpunkt der erleichterten Einbürgerung nicht mehr in einer stabilen, intakten und auf die Zukunft gerichteten ehelichen Gemeinschaft mit ihrem Ehemann gelebt, nicht entgegen (vgl. E. 3.1). Überdies stellt das erneute Getrenntleben der Eheleute ein weiteres Indiz für eine zerrüttete Ehe dar. 7.2.3 Das Kind der Beschwerdeführerin muss ca. Ende Dezember 2004 gezeugt worden sein. Der Ehemann der Beschwerdeführerin war, entgegen der Behauptung der Rechtsvertreterin in ihrer Replik, über das Vorgehen der Beschwerdeführerin, via "One-Night-Stand" schwanger zu werden, nicht im Bilde. So gab er am 6. April 2006 anlässlich eines Klientengesprächs bei der Sozialhilfe an, seine Frau habe ihm den Fehltritt gestanden und wolle, dass er eine Vaterschaftsaberkennung mache, damit er nicht für das Kind aufkommen müsse. Auch die Beschwerdeführerin führte in ihrem Schreiben vom 29. Juni 2010 aus, sie habe ihrem Ehemann "etwa vor dem 3. Monat" der Schwangerschaft mitgeteilt, dass sie ein Kind erwarte. Ihr Ehemann habe dies mit Fassung getragen und sei deswegen nicht gewalttätig geworden. Die Beschwerdeführerin setzte mit dem von ihr gewählten Vorgehen, schwanger zu werden, ihre Ehe aufs Spiel, wusste sie doch nicht, wie ihr Ehemann auf die Ereignisse reagieren würde. Auch die Vaterschafts-aberkennung durch ihren Ehemann weist auf eine einseitige Planung des Kindes hin. Daher muss davon ausgegangen werden, dass nicht erst mit dem Auszug aus der gemeinsamen Wohnung im August 2005, sondern bereits Ende 2004 keine stabile, intakte und auf die Zukunft gerichtete eheliche Gemeinschaft mehr bestand. 7.2.4 Hinzuzufügen bleibt, dass die gänzliche Fremdbetreuung des Kindes ab August 2006 ein zusätzliches Indiz für eine instabile Ehe darstellt. Hätte - wie behauptet wird - zwischen den Eheleuten eine auf die Zukunft ausgerichtete Ehe bestanden, dann hätte sich der Ehemann zumindest teilweise an der Kinderbetreuung beteiligen wollen, gibt er doch an, das Verhältnisse zur Tochter seiner Ehefrau sei sehr gut und er unternehme auch viel mit ihr (vgl. Schreiben des Ehemannes vom 9. April 2008 und 29. Juni 2010). Zudem wäre eine reduzierte Fremdbetreuung angesichts der finanziellen Verhältnisse der Eheleute auch wesentlich billiger gewesen und einer guten Integration des Kindes nicht abträglich gewesen. 7.2.5 Was die zu den Akten gelegten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C-143/2008 vom 18. Februar 2010 E. 8.2.1 mit Hinweisen). 8.Der Beschwerdeführerin ist es somit nicht gelungen, die gegen sie sprechende Vermutung überzeugend in Frage zu stellen, dass zum Zeitpunkt der gemeinsamen Erklärung vom 27. August 2005 und der erleichterten Einbürgerung am 30. August 2005 zwischen ihr und ihrem Schweizer Ehemann keine stabile und auf die Zukunft ausgerichtete eheliche Gemeinschaft bestanden hat. Aufgrund der gesamten Umstände muss im Gegenteil davon ausgegangen werden, dass der Ehewille, bereits einige Zeit vorher erloschen war und an der Ehe schlussendlich nur festgehalten wurde, um der Beschwerdeführerin zum Schweizer Bürgerrecht zu verhelfen. Indem die Beschwerdeführerin in der gemeinsamen Erklärung den Bestand einer intakten und stabilen Ehe versicherte bzw. einen bedeutsamen Sachverhalt (aussereheliche Schwangerschaft) nicht anzeigte, hat sie die Behörden über wesentliche Tatsachen getäuscht und die erleichterte Einbürgerung im Sinne von Art. 41 Abs. 1 BüG erschlichen. Die materiellen Voraussetzungen für die Nichtigerklärung der erleichterten Einbürgerung sind folglich ebenfalls erfüllt. 9.Sofern nicht ausdrücklich anders verfügt wird, erstreckt sich die Nichtigkeit auf alle Familienmitglieder, deren Schweizer Bürgerrecht auf der nichtig erklärten Einbürgerung beruht (vgl. Art. 41 Abs. 3 BüG). Aus den Akten sind keine Gründe ersichtlich, weshalb bezüglich der Tochter der Beschwerdeführerin anders verfügt werden sollte. Auch die Gefahr der Staatenlosigkeit besteht nicht. Gemäss kamerunischem Recht verliert eine Person mit kamerunischer Staatsangehörigkeit bei der Heirat mit einer ausländischen Person ihre kamerunische Staatsangehörigkeit nicht. Des weiteren erhält jede sich im Ausland befindende Person bei ihrer Geburt die kamerunische Staatsangehörigkeit, sofern der Vater oder die Mutter die kamerunische Staatsangehörigkeit besitzen. Somit hat die Beschwerdeführerin ihre kamerunische Staatsangehörigkeit nicht verloren und ihre Tochter wird diese ohne weiteres erhalten (Quelle: UNHCR Refworld, im Internet unter: www.unhcr.org/refworld/country,LEGAL, LEGISLATION,CMR,456d621e2,3ae6b4d734,0.html [Stand 16. August 2012], Seite besucht im August 2012). 10.Die angefochtene Verfügung erweist sich demnach als rechtmässig (Art. 49 VwVG). Die Beschwerde ist daher abzuweisen. 11.Dem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