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C-6881/2008 vom 2. Juni 2010</w:t>
      </w:r>
    </w:p>
    <w:p>
      <w:r>
        <w:t>Bundesverwaltungsgericht, 2010-06-02, FR</w:t>
      </w:r>
    </w:p>
    <w:p>
      <w:r>
        <w:rPr>
          <w:b/>
        </w:rPr>
        <w:t xml:space="preserve">Quelle: </w:t>
      </w:r>
      <w:r>
        <w:t>https://mcp.opencaselaw.ch/entscheid/bvger_C-6881_2008</w:t>
      </w:r>
    </w:p>
    <w:p>
      <w:r>
        <w:t>FR: TAF C-6881/2008 du 2 juin 2010</w:t>
      </w:r>
    </w:p>
    <w:p>
      <w:r>
        <w:t>IT: TAF C-6881/2008 del 2 giugno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Le recourant a présenté sa demande de rente le 26 décembre 2007.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26 décembre 2006 ou si le droit à une rente était né entre cette date et le 29 septembre 2008,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comme ouvrier dans le bâtiment de nombreuses années avant son retour en Espagne fin 2004. De retour dans son pays il a exercé une activité dans la construction de maçon et de conducteur de machine d'excavation jusqu'au 3 avril 2006.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notamment d'atteintes au rachis, spécialement à hauteur de la colonne lombaire, depuis avril 2006 et de cervicobrachialgies alléguées depuis octobre 2007 environ.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10.1</w:t>
      </w:r>
    </w:p>
    <w:p>
      <w:r>
        <w:t>En l'espèce l'intéressé souffre depuis avril 2006 de lombosciatalgies qui l'ont obligé à cesser son activité professionnelle dans la construction. La manoeuvre de Lasègue, le test de Bragard et le signe de Neri ont déterminé des limitations dans la mobilité du tronc et les antéflexions et rétroflexions de l'assuré, des difficultés à la marche sur la pointe des pieds et les talons ont établi plus généralement des limitations de déplacement sur la longueur. Les rapports RM ont établi des lombalgies mécaniques, des hernies discales L3-L4, L4-L5 paramédiale gauche et L5-S1 paramédiale droite dégénératives avec disques déshydratés et compromission radiculaire en L5. Il s'ensuit qu'il n'est pas contesté comme l'a établi le médecin de l'OAIE qu'à compter du 4 avril 2006 l'assuré a présenté une incapacité de travail de 70% pour toute activité lourde dont son activité professionnelle dans la construction.</w:t>
      </w:r>
    </w:p>
    <w:p>
      <w:r>
        <w:rPr>
          <w:b/>
        </w:rPr>
        <w:t>E. 10.2</w:t>
      </w:r>
    </w:p>
    <w:p>
      <w:r>
        <w:t>Est litigieux la capacité de travail résiduelle de l'assuré. Reconnaître une incapacité de travail dans l'activité exercée jusqu'alors n'implique pas une incapacité de travail pour toute activité et implicitement l'octroi d'une rente d'invalidité. Le rapport médical E 213 de la Sécurité sociale espagnole du 8 janvier 2008 fait état des atteintes à la santé de l'intéressé précitées et indique que les atteintes en question limitent l'assuré à des activités légères sans port et transport de charges, sans devoir faire usage de rampes, escaliers et échelles, ne sollicitant pas la colonne lombaire. Il indique expressément que l'assuré peut exercer une activité adaptée à plein temps. Le Dr Th. Lehmann de l'OAIE, se fondant sur le dossier médical, dont il a relevé tous les éléments déterminants, a confirmé le rapport E 213 dans sa substance et proposé des activités lucratives légères à exercer principalement en position assise, préservant la colonne lombaire, comme ouvrier dans l'industrie légère en position assise ou permettant des changements de position, gardien de parking et musée, magasinier. A la date de la décision prise, le Tribunal de céans ne peut que confirmer le bien-fondé de cette appréciation car rien au dossier ne permettait à l'OAIE de la contredire, l'assuré ayant toute la mobilité de ses membres supérieurs et ne présentant pas de problème psychique.</w:t>
      </w:r>
    </w:p>
    <w:p>
      <w:r>
        <w:rPr>
          <w:b/>
        </w:rPr>
        <w:t>E. 10.3</w:t>
      </w:r>
    </w:p>
    <w:p>
      <w:r>
        <w:t>Dans le cadre du recours contre la décision précitée l'intéressé a fourni une documentation médicale complémentaire qui pour l'essentiel a confirmé les atteintes à la santé de l'assuré. Elle n'a pas apporté d'élément nouveau au dossier à l'exception du fait des cervicobrachialgies évoquées pour la première fois dans le rapport du 22 octobre 2008 du Dr R. Serramito Garcia et qui irradient le membre supérieur gauche jusqu'au 3 premiers doigts de la main avec des paresthésies. Cet élément non existant lors de la décision attaquée est un fait ultérieur ne pouvant remettre en question celle-ci, même si l'atteinte est indiquée comme remontant à une année car aucune documentation médicale ne l'atteste antérieurement au 22 octobre 2008. En l'état du dossier, le Tribunal de céans ne peut donc que confirmer la possibilité pour l'assuré d'exercer une activité adaptée à plein temps. Certes l'assuré souffre de douleurs incapacitantes dans les activités quotidiennes. Il se trouve toutefois que si ses douleurs sont réelles dans ses déplacements et dans divers gestes de la vie qui demandent notamment une sollicitation du rachis ne serait-ce que lors d'antéflexions et de retroflexions, une activité lucrative en position assise est exigible.</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En l'espèce, c'est à bon droit que l'autorité s'est fiée à l'Enquête suisse sur la structure des salaires (ESS) et non aux statistiques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administatif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11.4</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12.1</w:t>
      </w:r>
    </w:p>
    <w:p>
      <w:r>
        <w:t>En l'espèce il y a lieu de procéder à une évaluation de l'invalidité selon la méthode générale par une comparaison de revenus sur la base de l'Enquête suisse sur la structure des salaires 2006 indexés 2007 car il doit être admis que c'est à compter de 2007 que l'état de santé du recourant doit être considéré comme stabilisé, celui-ci n'ayant pas évolué de façon déterminante depuis cette année jusqu'au 29 septembre 2008.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w:t>
      </w:r>
    </w:p>
    <w:p>
      <w:r>
        <w:rPr>
          <w:b/>
        </w:rPr>
        <w:t>E. 12.2</w:t>
      </w:r>
    </w:p>
    <w:p>
      <w:r>
        <w:t>L'OAIE a retenu comme base de comparaison sans invalidité le revenu d'un ouvrier spécialisé dans la construction. Selon l'Enquête suisse sur les salaires 2006, table TA1, niveau 3, il en résulte un salaire mensuel de Fr. 5'422.- pour 40 h./sem. et de Fr. 5'652.4 pour 41.7 h./sem. selon le temps de travail hebdomadaire dans ce secteur.</w:t>
      </w:r>
    </w:p>
    <w:p>
      <w:r>
        <w:rPr>
          <w:b/>
        </w:rPr>
        <w:t>E. 12.3</w:t>
      </w:r>
    </w:p>
    <w:p>
      <w:r>
        <w:t>Le salaire après invalidité doit également être fixé sur la base des données statistiques résultant de l'Enquête suisse sur les salaires 2006 (table TA1), en l'occurrence celles des activités de substitution proposées par le Dr Lehmann soit en moyenne Fr. 4'687.67 correspondant aux revenus dans la production en général (Fr. 5'012.-), les services collectifs et personnels (Fr. 4'259.-), dans le commerce de gros et intermédiaires de commerce (Fr. 4'792.-) pour des activités simples et répétitives (niveau 4) à 100% pour 40 h./sem., soit Fr. 4'886.89 pour 41.7 h./sem., sous déduction de 15% pour tenir compte de l'âge de l'assuré et de ses restrictions personnelles aux activités légères, soit Fr. 4'153.86.-. Un nombre suffisant d'entre elles peut être exercé sans efforts moyennement importants en position assise ou autorisant le changement de position, de sorte que ces activités sont adaptées au handicap du recourant. De plus, la majeure partie de ces postes ne nécessite pas de formation particulière autre qu'une mise au courant initiale.</w:t>
      </w:r>
    </w:p>
    <w:p>
      <w:r>
        <w:rPr>
          <w:b/>
        </w:rPr>
        <w:t>E. 12.4</w:t>
      </w:r>
    </w:p>
    <w:p>
      <w:r>
        <w:t>En comparant le salaire avant invalidité de Fr. 5'652.44 avec celui après invalidité de Fr. 4'153.86, on obtient une perte de gain de 26.51% arrondie à 27% ([5'652.44 - 4'153.86] : 5'652.44 x 100). Même indexés valeur 2007 pour la comparaison déterminante, puis indexés 2008, années de la décision dont est recours, les revenus de référence précités et leur comparaison ne permettent pas d'atteindre un taux d'invalidité de 40% au moins. Il appert de ce qui précède que le recours doit être rejeté et la décision attaquée confirmée.</w:t>
      </w:r>
    </w:p>
    <w:p>
      <w:r>
        <w:rPr>
          <w:b/>
        </w:rPr>
        <w:t>E. 13.1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14</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