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C-6871/2008 vom 5. Oktober 2010</w:t>
      </w:r>
    </w:p>
    <w:p>
      <w:r>
        <w:t>Bundesverwaltungsgericht, 2010-10-05, FR</w:t>
      </w:r>
    </w:p>
    <w:p>
      <w:r>
        <w:rPr>
          <w:b/>
        </w:rPr>
        <w:t xml:space="preserve">Quelle: </w:t>
      </w:r>
      <w:r>
        <w:t>https://mcp.opencaselaw.ch/entscheid/bvger_C-6871_2008</w:t>
      </w:r>
    </w:p>
    <w:p>
      <w:r>
        <w:t>FR: TAF C-6871/2008 du 5 octobre 2010</w:t>
      </w:r>
    </w:p>
    <w:p>
      <w:r>
        <w:t>IT: TAF C-6871/2008 del 5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La recourante a déposé sa demande de prestations le 18 février 2005.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25 juillet 2008,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3.3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18 février 2004 (12 mois avant le dépôt de la demande) ou si le droit à une rente était né entre cette date et le 25 juillet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La recourante a versé des cotisations à l'AVS/AI pendant plus d'une année au total (pce 84)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Conformément à l'art. 29 al. 1 LAI, le droit à une rente naît dès que l'assuré, in casu ressortissante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peut renvoyer la cause à l'administration pour complément d'instruction si celle-ci a constaté les faits de façon sommaire, dans l'idée que le tribunal les éclaircirait comme il convient en cas de recours (arrêt du Tribunal fédéral 9C_162/2007 du 3 avril 2008 consid. 2.3. et les références citées).</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9.1</w:t>
      </w:r>
    </w:p>
    <w:p>
      <w:r>
        <w:t>En l'espèce, il est admis que la recourante souffre d'un trouble anxieux et dépressif mixte (CIM-10 F41.2) et différentes affections d'ordre somatique, à savoir notamment une polyarthrite, une ostéoporose et une incontinence urinaire (cf. pce TAF 1 p. 1 et pce TAF 15 p. 2). Le litige porte sur les répercussion de ces affections sur la capacité de travail de l'assurée, singulièrement sur le degré d'invalidité à retenir. En bref, l'assurée estime avoir droit à une rente entière autant pour des raisons psychiques que somatiques. Pour sa part, l'OAIE, se basant essentiellement sur une prise de position de son service médical du 12 mars 2008, est d'avis que les atteintes physiques ne présentent pas un caractère incapacitant et que l'affection psychique de l'assurée entraîne une incapacité de travail de seulement 40%.</w:t>
      </w:r>
    </w:p>
    <w:p>
      <w:r>
        <w:rPr>
          <w:b/>
        </w:rPr>
        <w:t>E. 9.2</w:t>
      </w:r>
    </w:p>
    <w:p>
      <w:r>
        <w:t>Sur le plan psychiatrique, force est de constater que les avis médicaux émis par les médecins ayant suivi la recourante en Espagne s'expriment de façon peu précise, voire pas du tout, sur les répercussions du trouble anxieux et dépressif mixte sur la capacité de travail de la recourante. Ainsi, le Dr E._______, dans les rapports médicaux E 213 des 14 mars 2005 (pce 24), 13 novembre 2006 (pce 34) et 4 juillet 2007 (pce 42) ne s'est jamais exprimé sur ce point quand bien même le formulaire y relatif demande expressément de prendre position en la matière. Pour sa part, la Dresse D._______ fait notamment état de labilité émotionnelle et d'anxiété observées chez l'assurée et se limite à donner la liste des médicaments prescrits en précisant que ceux-ci s'avèrent toujours nécessaires au vu des symptômes psychopatologiques (rapports des 31 octobre 2003 [pce 21], 7 novembre 2003 [pce 22], 27 octobre 2004 [pce 16], 4 août 2005 [pce 74] et 25 août 2005 [pce 25]). Quant au Dr C._______, il retient dans un premier temps une limitation de la capacité de travail partielle ou modérée de l'assurée (certificat du 26 septembre 2003 [pce 20]). Dans un deuxième rapport beaucoup plus étayé et établi avec le concours de Madame G._______, psychologue, il atteste que l'affection psychiatrique s'est péjorée et que le traitement médicamenteux n'a jusqu'à ce jour pas permis d'apporter une amélioration importante. Selon ces praticiens, l'atteinte produit une série de symptômes émotionnelles et comportementaux de forte intensité qui interfèrent de façon significative sur l'accomplissement de toutes les activités effectuées par l'assurée (rapport psychiatrique du 19 juin 2006 [pce 33]). La Dresse I._______, dans un rapport du 25 juin 2007 (pce 41), indique notamment que le tableau clinique n'a pas connu d'amélioration. Finalement, on note que, selon un acte de la sécurité sociale espagnole du 30 janvier 2009 (pce TAF 18 p. 6), l'assurée présente une incapacité de travail de 65% dont 30% sont mis sur le compte du trouble psychique. Au vu de ce qui précède, le Tribunal fédéral est d'avis que l'argumentation soutenue par l'OAIE n'est pas suffisamment étayée par des pièces concluantes et que les différents rapports médicaux versés au dossier ne permettent pas, au degré de la vraisemblance prépondérante, de confirmer le taux d'incapacité de travail de 40% retenu par le Dr H._______ qui n'a pas examiné lui-même la recourante et qui a émis son avis en fonction des actes de la cause. En particulier, la prise de position de ce médecin souffre d'un défaut de crédibilité dans la mesure où il a lui même considéré, dans un premier temps (cf. rapport du 30 septembre 2007), que les actes du dossier n'étaient pas suffisants pour se prononcer dans la présente affaire et qu'il convenait de procéder à un complément d'instruction pour ensuite y renoncer lorsque les démarches entamées par l'OAIE à cet effet se sont soldées par un échec, l'INSS refusant de produire une pièce médicale s'exprimant de façon précise sur la capacité de travail de l'assurée (cf. supra let. B.g ss). Dans de telles circonstances et au vu des rapports peu concluants, voire contradictoires versés au dossiers (cf. notamment le rapport du Dr F._______ du 19 février 2007 [pce 36] estimant que l'assurée présente une incapacité de travail de 70%; voire supra let. B.d), il incombait à l'autorité inférieure de prendre des mesures complémentaires pour obtenir les renseignements demandés. Dans ce contexte, on rappelle que, selon la jurisprudence, il convient de poser des exigences sévères à l'appréciation des preuves lorsque l'assureur statue en grande partie, voire exclusivement sur la base de son service médical. Une instruction complémentaire sera ainsi requise, s'il subsiste des doutes, même minimes, quant au bien-fondé des rapports et expertises médicaux versés au dossier (ATF 135 V 465 consid. 4.4).</w:t>
      </w:r>
    </w:p>
    <w:p>
      <w:r>
        <w:rPr>
          <w:b/>
        </w:rPr>
        <w:t>E. 9.3</w:t>
      </w:r>
    </w:p>
    <w:p>
      <w:r>
        <w:t>Sur le plan somatique, on constate que la recourante, notamment en produisant un rapport médical du 9 octobre 2007 (pce 68 faisant entre autres part d'ostéoarthropatie et de chondromalacie, degré IV; cf. supra let. B.h), a fait valoir différentes affections qui, selon elle, justifient de retenir une incapacité de travail significative. Le service médical de l'autorité inférieure ne s'est toutefois jamais exprimé sur ce point, quand bien même les affections décrites ne paraissent pas de prime abord anodines. Ici également un complément d'instruction s'avère nécessaire (cf. notamment arrêt du Tribunal administratif fédéral C-2836/2008 du 17 août 2010 consid. 13.2 et la référence).</w:t>
      </w:r>
    </w:p>
    <w:p>
      <w:r>
        <w:rPr>
          <w:b/>
        </w:rPr>
        <w:t>E. 10</w:t>
      </w:r>
    </w:p>
    <w:p>
      <w:r>
        <w:t>En conséquence de tout ce qui précède, le Tribunal de céans conclut que les actes de la cause ne constituent pas une base suffisante pour rendre un jugement dans la présente affaire. Il se justifie dès lors, en application de l'art. 61 PA, de renvoyer la cause à l'OAIE pour instruction complémentaire comprenant notamment la réalisation d'une expertise médicale pluridisciplinaire avec pour le moins le concours d'un psychiatre et d'un orthopède/rhumatologue ainsi que, éventuellement, de tout autre spécialiste dont l'avis devrait s'avérer nécessaire pour juger de la capacité de travail de la recourante (en ce qui concerne le problème urologique allégué cf. pce 61). Le cas échéant, l'administration veillera également à procéder à toute autre mesure utile pour déterminer valablement la capacité de travail effective de la recourante dans la période déterminante. L'ensemble du dossier sera par la suite soumis au service médical de l'OAIE pour examen. Enfin, une nouvelle décision sera prise.</w:t>
      </w:r>
    </w:p>
    <w:p>
      <w:r>
        <w:rPr>
          <w:b/>
        </w:rPr>
        <w:t>E. 11</w:t>
      </w:r>
    </w:p>
    <w:p>
      <w:r>
        <w:t>Vu l'issue de la cause, il n'est pas perçu de frais de procédure (art. 63 PA) et le montant de Fr. 301.- versé à titre d'avance de frais par la recourante lui est restitué.</w:t>
      </w:r>
    </w:p>
    <w:p>
      <w:r>
        <w:rPr>
          <w:b/>
        </w:rPr>
        <w:t>E. 12</w:t>
      </w:r>
    </w:p>
    <w:p>
      <w:r>
        <w:t>La recourante ayant agi en étant représentée par un mandataire professionnel, il lui est alloué une indemnité globale de dépens de Fr. 1'000.-, laquelle est fixée en fonction de l'importance et de la difficulté de la cause ainsi que du travail, relativement limité dans le cas d'espèce, qu'elle nécessite et du temps que le mandataire pouvait y consacrer (art. 64 al. 1 PA et art. 7 ss du règlement du 21 février 2008 concernant les frais, dépens, et indemnités fixés par le Tribunal administratif fédéral [FITAF, RS 173.320.2]; cf. également ATF 132 V 215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