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C-6862/2011 vom 21. November 2013</w:t>
      </w:r>
    </w:p>
    <w:p>
      <w:r>
        <w:t>Bundesverwaltungsgericht, 2013-11-21, DE</w:t>
      </w:r>
    </w:p>
    <w:p>
      <w:r>
        <w:rPr>
          <w:b/>
        </w:rPr>
        <w:t xml:space="preserve">Quelle: </w:t>
      </w:r>
      <w:r>
        <w:t>https://mcp.opencaselaw.ch/entscheid/bvger_C-6862_2011</w:t>
      </w:r>
    </w:p>
    <w:p>
      <w:r>
        <w:t>FR: TAF C-6862/2011 du 21 novembre 2013</w:t>
      </w:r>
    </w:p>
    <w:p>
      <w:r>
        <w:t>IT: TAF C-6862/2011 del 21 novembre 2013</w:t>
      </w:r>
    </w:p>
    <w:p>
      <w:pPr>
        <w:pStyle w:val="Heading2"/>
      </w:pPr>
      <w:r>
        <w:t>Regeste</w:t>
      </w:r>
    </w:p>
    <w:p>
      <w:r>
        <w:t>Zwangsanschluss an die Auffangeinrichtung</w:t>
      </w:r>
    </w:p>
    <w:p>
      <w:pPr>
        <w:pStyle w:val="Heading2"/>
      </w:pPr>
      <w:r>
        <w:t>Erwägungen</w:t>
      </w:r>
    </w:p>
    <w:p>
      <w:r>
        <w:rPr>
          <w:b/>
        </w:rPr>
        <w:t>E. 3</w:t>
      </w:r>
    </w:p>
    <w:p>
      <w:r>
        <w:t>Vorliegend ist strittig und nachfolgend zu prüfen, ob die Vorinstanz die Beschwerdeführerin zu Recht per 1. Januar 2004 zwangsweise an die Auffangeinrichtung angeschlossen hat.</w:t>
      </w:r>
    </w:p>
    <w:p>
      <w:r>
        <w:rPr>
          <w:b/>
        </w:rPr>
        <w:t>E. 3.1</w:t>
      </w:r>
    </w:p>
    <w:p>
      <w:r>
        <w:t>Die Beschwerdeführerin machte vorliegend geltend, sie habe in den Jahren 2004 und 2005 keine Löhne an Angestellte ausbezahlt. Als Beleg dafür reichte sie die Jahresrechnungen, die Steuererklärungen und veranlagungen für die entsprechenden Jahre ein.</w:t>
      </w:r>
    </w:p>
    <w:p>
      <w:r>
        <w:rPr>
          <w:b/>
        </w:rPr>
        <w:t>E. 3.2</w:t>
      </w:r>
    </w:p>
    <w:p>
      <w:r>
        <w:t>Die Vorinstanz führte demgegenüber aus, sie sei verpflichtet, säumige Arbeitgeber, welche ihre obligatorisch zu versichernden Arbeitnehmer nicht freiwillig einer Vorsorgeeinrichtung angeschlossen haben, zwangsweise anzuschliessen. Aus der ihr von der Ausgleichskasse BL übermittelten Lohndeklarationen gehe hervor, dass in den Jahren 2004 und 2005 B._______ bei der Beschwerdeführerin beschäftigt gewesen sei und ein Einkommen von je Fr. 27'000. pro Jahr erzielt habe. Einen Anschluss an eine registrierte Vorsorgeeinrichtung für die fragliche Zeit habe die Beschwerdeführerin nicht nachweisen können, da die Basler Versicherungen mit E-Mail vom 26. Januar 2011 (BVG-act. 2) lediglich einen Anschluss bis zum 31. Dezember 2003 bestätigten. Überdies wies die Vorinstanz in der Begründung der Verfügung darauf hin, dass zufolge Austritts dieses (einzigen) Arbeitnehmers der Beschwerdeführerin per 31. Dezember 2005 im Verfügungszeitpunkt ohnehin kein freiwilliger Anschluss mehr möglich gewesen wäre.</w:t>
      </w:r>
    </w:p>
    <w:p>
      <w:r>
        <w:rPr>
          <w:b/>
        </w:rPr>
        <w:t>E. 3.3</w:t>
      </w:r>
    </w:p>
    <w:p>
      <w:r>
        <w:t>Aus den eingereichten Akten, namentlich den Lohndeklarationen für 2004 und 2005 (BVG-act. 11), ist ersichtlich, dass B._______ in der fraglichen Zeit bei der Beschwerdeführerin angestellt gewesen ist und einen Jahreslohn von je Fr. 27'000. erzielt hat. Auf den beiden Lohndeklarationen gab die Beschwerdeführerin jeweils an, bei den Basler Versicherungen BVG-versichert zu sein. Die Basler Versicherungen bestätigten indes auf Nachfrage der Vorinstanz lediglich eine Versicherungsdauer bis zum 31. Dezember 2003. Korrekturmeldungen der Löhne für die Jahre 2004 und 2005 sind nicht aktenkundig. Die Vorinstanz darf sich grundsätzlich auf die Angaben und Unterlagen der AHV-Ausgleichskasse stützen (Weisungen über die Kontrolle des Anschlusses der Arbeitgeber an eine Einrichtung der beruflichen Vorsorge gemäss Art. 11 BVG [AKBV Rz. 5011]). Eine Ausnahme liegt in casu nicht vor. Somit ist für die Beurteilung der Anschlusspflicht vorliegend ausschliesslich auf die Unterlagen der Ausgleichskasse, die notabene von der Beschwerdeführerin unterzeichnet sind und von ihr bei jener eingereicht wurden, abzustellen. Daran vermögen auch die von der Beschwerdeführerin im Beschwerdeverfahren eingereichten Steuerunterlagen nichts zu ändern. In Bezug auf Letztere ist noch darauf hinzuweisen, dass diese in sich ohnehin nicht ganz schlüssig sind, weisen sie für die betreffenden Jahre zwar keine Löhne, aber dennoch Sozialversicherungsaufwand aus. Zusammenfassend ist somit festzuhalten, dass mit den Jahreslöhnen von je Fr. 27'000 in den Jahren 2004 und 2005 die Eintrittsschwelle von Fr. 25'320. (2004) respektive Fr. 19'350. (2005) überschritten wurde, weshalb der Zwangsanschluss per 1. Januar 2004 gerechtfertigt war. Ob im Verfügungszeitpunkt - wie die Vorinstanz geltend macht - bereits ein Leistungsfall eingetreten und auch deshalb ein freiwilliger Anschluss nicht mehr möglich war, ist deshalb vorliegend nicht mehr zu prüfen. Der Zwangsanschluss erfolgte von der Vorinstanz in der Ausführung ihres gesetzlichen Auftrags, in Übereinstimmung mit den Anschlussbedingungen, die integrierender Bestandteil der Verfügung sind, und dem angehängten Kostenreglement. Daher sind auch die Versicherungsbedingungen und die den Beschwerdeführenden auferlegten Kosten für den Zwangsanschluss nicht zu beanstanden. Nicht korrekt ist hingegen, dass die Vorinstanz in der angefochtenen Verfügung bereits Zusatzkosten für die rückwirkende Rechnungsstellung der Beitragsforderung erhoben hat, da diese - wie der Begriff bereits sagt - erst im Rahmen der (Beitrags-) Rech­nungsstellung und somit nicht schon in der Verfügung betreffend Zwangsanschluss zu erheben sind (vgl. Urteil des BVGer C 6058/2010 vom 1. März 2012 E. 3.3). Es ist zudem auch nicht ersichtlich, inwiefern die Vorinstanz zum Zeitpunkt des Zwangsanschlusses ein Interesse an dieser Kostenerhebung haben könnte, zumal die Zusatzkosten in Abhängigkeit von der Anzahl zu versichernden Personen noch zu präzisieren sind und auch später im Rahmen der Beitragsrechnung respektive der Beitragsverfügung gestützt auf das Kostenreglement ohne Weiteres in Rechnung gestellt werden können. Vorliegend ist mit der Verfügung vom 6. Dezember 2011 lediglich der Zwangsanschluss verfügt worden, weshalb in jenem Zeitpunkt folglich noch keine Kosten im Zusammenhang mit einer (erst später) zu erhebenden Beitragsrechnung aufzuerlegen waren. Die Dispositivziffer 2 der Verfügung vom 6. Dezem­ber 2011 ist demnach wie folgt abzuändern: "Dem Arbeitgeber werden die Kosten für diese Verfügung in der Höhe von Fr. 450. und Gebühren für die Durchführung des Zwangsanschlusses in der Höhe von Fr. 375. auferlegt." Die Beschwerde ist daher, soweit sie diese Kostenauferlegung betrifft, teilweise gutzuheissen und im Übrigen abzuweisen.</w:t>
      </w:r>
    </w:p>
    <w:p>
      <w:r>
        <w:rPr>
          <w:b/>
        </w:rPr>
        <w:t>E. 4</w:t>
      </w:r>
    </w:p>
    <w:p>
      <w:r>
        <w:t>Zu befinden bleibt noch über die Verfahrenskosten und über eine allfällige Parteientschädigung.</w:t>
      </w:r>
    </w:p>
    <w:p>
      <w:r>
        <w:rPr>
          <w:b/>
        </w:rPr>
        <w:t>E. 4.1</w:t>
      </w:r>
    </w:p>
    <w:p>
      <w:r>
        <w:t>Gemäss Art. 63 Abs. 1 VwVG werden die Verfahrenskosten in der Regel der unterliegenden Partei auferlegt. Bei diesem Verfahrensausgang sind der weitestgehend unterliegenden Beschwerdeführerin die Kosten, welche auf Fr. 800. festzulegen sind, aufzuerlegen. Der von der Beschwerdeführerin geleistete Kostenvorschuss in der Höhe von Fr. 800. ist mit den Verfahrenskosten zu verrechnen. Einer (teilweise) unterliegenden Vorinstanz sind gemäss Art. 63 Abs. 2 VwVG keine Verfahrenskosten aufzuerlegen.</w:t>
      </w:r>
    </w:p>
    <w:p>
      <w:r>
        <w:rPr>
          <w:b/>
        </w:rPr>
        <w:t>E. 4.2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Der obsiegenden Vorinstanz ist somit keine Parteientschädigung zuzusprechen (vgl. BGE 126 V 143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