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C-6858/2015 vom 20. Juni 2016</w:t>
      </w:r>
    </w:p>
    <w:p>
      <w:r>
        <w:t>Bundesverwaltungsgericht, 2016-06-20, DE</w:t>
      </w:r>
    </w:p>
    <w:p>
      <w:r>
        <w:rPr>
          <w:b/>
        </w:rPr>
        <w:t xml:space="preserve">Quelle: </w:t>
      </w:r>
      <w:r>
        <w:t>https://mcp.opencaselaw.ch/entscheid/bvger_C-6858_2015</w:t>
      </w:r>
    </w:p>
    <w:p>
      <w:r>
        <w:t>FR: TAF C-6858/2015 du 20 juin 2016</w:t>
      </w:r>
    </w:p>
    <w:p>
      <w:r>
        <w:t>IT: TAF C-6858/2015 del 20 giugno 2016</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 H.).</w:t>
      </w:r>
    </w:p>
    <w:p>
      <w:r>
        <w:rPr>
          <w:b/>
        </w:rPr>
        <w:t>E. 3</w:t>
      </w:r>
    </w:p>
    <w:p>
      <w:r>
        <w:t>Das SEM kann Einreiseverbote gegen ausländische Personen erlassen, die gegen die öffentliche Sicherheit und Ordnung in der Schweiz oder im Ausland verstossen haben oder diese gefährden (Art. 67 Abs. 2 Bst. a AuG). Die öffentliche Sicherheit und Ordnung bildet den Oberbegriff für die Gesamtheit der polizeilichen Schutzgüter; sie umfasst u.a. die Unverletzlichkeit der objektiven Rechtsordnung und der Rechtsgüter Einzelner. Ein Verstoss gegen die öffentliche Sicherheit und Ordnung liegt insbesondere vor, wenn gesetzliche Vorschriften missachtet werden (Art. 80 Abs. 1 Bst. a der Verordnung vom 24. Oktober 2007 über Zulassung, Aufenthalt und Erwerbstätigkeit [VZAE, SR 142.201]).</w:t>
      </w:r>
    </w:p>
    <w:p>
      <w:r>
        <w:rPr>
          <w:b/>
        </w:rPr>
        <w:t>E. 4</w:t>
      </w:r>
    </w:p>
    <w:p>
      <w:r>
        <w:t>Die Vorinstanz hat ihre Verfügung damit begründet, dass der Beschwerdeführer ohne die dazu erforderliche Bewilligung in der Schweiz erwerbstätig gewesen sei. Das in diesem Zusammenhang durchgeführte Strafverfahren wurde mit Verfügung vom 24. Februar 2016 eingestellt. Im Administrativverfahren besteht keine direkte Bindung an die Beurteilung der Straf(verfolgungs-)behörden, da ausdrücklich eine Gefährdung der öffentlichen Sicherheit und Ordnung zu beurteilen ist (vgl. Urteil des BVGer C-5190/2014 vom 25. September 2015 E. 5.3.1). Angesichts der ausführlich und überzeugend begründeten Einstellungsverfügung (insb. Ziff. 5) gibt es im vorliegenden Fall keine zureichenden Anhaltpunkte für eine Gefährdung der öffentlichen Sicherheit und Ordnung.</w:t>
      </w:r>
    </w:p>
    <w:p>
      <w:r>
        <w:rPr>
          <w:b/>
        </w:rPr>
        <w:t>E. 5</w:t>
      </w:r>
    </w:p>
    <w:p>
      <w:r>
        <w:t>Aus vorstehender Erwägung ergibt sich, dass die angefochtene Verfügung Bundesrecht verletzt (vgl. Art. 49 Bst. a VwVG). Die Beschwerde ist daher gutzuheissen und die angefochtene Verfügung aufzuheben.</w:t>
      </w:r>
    </w:p>
    <w:p>
      <w:r>
        <w:rPr>
          <w:b/>
        </w:rPr>
        <w:t>E. 6</w:t>
      </w:r>
    </w:p>
    <w:p>
      <w:r>
        <w:t>Bei diesem Verfahrensausgang sind keine Kosten aufzuerlegen (Art. 63 Abs. 1 und 2 VwVG). Dem Beschwerdeführer ist für die ihm im Verfahren vor dem Bundesverwaltungsgericht erwachsenen notwendigen Kosten eine Parteientschädigung zuzusprechen, die gemäss der von ihm mit der Replik eingereichten Honorarnote auf CHF 2'552.-, Mehrwertsteuerzuschlag inbegriffen, festzusetzen ist (vgl. Art. 64 Abs. 1 VwVG,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