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C-6852/2008 vom 4. Oktober 2010</w:t>
      </w:r>
    </w:p>
    <w:p>
      <w:r>
        <w:t>Bundesverwaltungsgericht, 2010-10-04, DE</w:t>
      </w:r>
    </w:p>
    <w:p>
      <w:r>
        <w:rPr>
          <w:b/>
        </w:rPr>
        <w:t xml:space="preserve">Quelle: </w:t>
      </w:r>
      <w:r>
        <w:t>https://mcp.opencaselaw.ch/entscheid/bvger_C-6852_2008</w:t>
      </w:r>
    </w:p>
    <w:p>
      <w:r>
        <w:t>FR: TAF C-6852/2008 du 4 octobre 2010</w:t>
      </w:r>
    </w:p>
    <w:p>
      <w:r>
        <w:t>IT: TAF C-6852/2008 del 4 ottobre 2010</w:t>
      </w:r>
    </w:p>
    <w:p>
      <w:pPr>
        <w:pStyle w:val="Heading2"/>
      </w:pPr>
      <w:r>
        <w:t>Regeste</w:t>
      </w:r>
    </w:p>
    <w:p>
      <w:r>
        <w:t>Invalidenversicherung (IV)</w:t>
      </w:r>
    </w:p>
    <w:p>
      <w:pPr>
        <w:pStyle w:val="Heading2"/>
      </w:pPr>
      <w:r>
        <w:t>Erwägungen</w:t>
      </w:r>
    </w:p>
    <w:p>
      <w:r>
        <w:rPr>
          <w:b/>
        </w:rPr>
        <w:t>E. 1</w:t>
      </w:r>
    </w:p>
    <w:p>
      <w:r>
        <w:t>Zu beurteilen ist die Beschwerde vom 30. Oktober 2008 gegen die Verfügung der Vorinstanz vom 10. Oktober 2008, mit der das Leistungsbegehren des Beschwerdeführers vom 21. Oktober 2005 abgewiesen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20. Dezember 1946 über die Alters- und Hinterlassenenversicherung [AHVG, SR 831.10]).</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er an deren Aufhebung bzw. Änderung ein schutzwürdiges Interesse. Nachdem der Verfahrenskostenvorschuss innert Frist geleistet worden ist, kann auf die form- und fristgerecht eingereichte Beschwerde eingetreten werden (Art. 60 ATSG, Art. 52 Abs. 1 und Art. 63 Abs. 4 VwVG).</w:t>
      </w:r>
    </w:p>
    <w:p>
      <w:r>
        <w:rPr>
          <w:b/>
        </w:rPr>
        <w:t>E. 2</w:t>
      </w:r>
    </w:p>
    <w:p>
      <w:r>
        <w:t>Vorab sind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 sofern das Gesetz nicht etwas Abweichendes vorsieht -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(vgl. BGE 125 V 351 E. 3a mit Hinweisen). Auch auf Beurteilungen versicherungsinterner Ärzte der Vorinstanz oder von Ärzten eines Regionalen ärztlichen Dienstes darf nur abgestellt werden, sofern sie schlüssig und nachvollziehbar begründet sowie in sich widerspruchsfrei sind und keine Indizien gegen ihre Zuverlässigkeit bestehen (vgl. BGE 125 V 351 E. 3b/ee).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Urteil des Bundesgerichts 9C_323/2009 vom 14. Juli 2009 E. 4.3.1 mit Hinweisen).</w:t>
      </w:r>
    </w:p>
    <w:p>
      <w:r>
        <w:rPr>
          <w:b/>
        </w:rPr>
        <w:t>E. 3</w:t>
      </w:r>
    </w:p>
    <w:p>
      <w:r>
        <w:t>Im Folgenden werden die für die Beurteilung der Streitsache wesentlichen materiellen Bestimmungen und die von der Rechtsprechung dazu entwickelten Grundsätze dargestellt.</w:t>
      </w:r>
    </w:p>
    <w:p>
      <w:r>
        <w:rPr>
          <w:b/>
        </w:rPr>
        <w:t>E. 3.1</w:t>
      </w:r>
    </w:p>
    <w:p>
      <w:r>
        <w:t>Der Beschwerdeführer ist Schweizer Bürger, weshalb im vorliegenden Verfahren ausschliesslich schweizerische Rechtsvorschriften anwendbar sind.</w:t>
      </w:r>
    </w:p>
    <w:p>
      <w:r>
        <w:rPr>
          <w:b/>
        </w:rPr>
        <w:t>E. 3.1.1</w:t>
      </w:r>
    </w:p>
    <w:p>
      <w:r>
        <w:t>In zeitlicher Hinsicht ist festzuhalten, dass Rechts- und Sachverhaltsänderungen, die nach dem massgebenden Zeitpunkt des Erlasses der streitigen Verfügung (hier: 10. Oktober 2008) eintraten, im vorliegenden Verfahren grundsätzlich nicht zu berücksichtigen sind (vgl. BGE 130 V 329, BGE 129 V 1 E. 1.2, je mit Hinweisen). Allerdings können Tatsachen, die den Sachverhalt seither verändert haben, unter Umständen Gegenstand einer neuen Verwaltungsverfügung sein (vgl. BGE 121 V 366 E. 1b mit Hinweisen).</w:t>
      </w:r>
    </w:p>
    <w:p>
      <w:r>
        <w:rPr>
          <w:b/>
        </w:rPr>
        <w:t>E. 3.1.2</w:t>
      </w:r>
    </w:p>
    <w:p>
      <w:r>
        <w:t>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10. Oktober 2008 in Kraft standen; weiter aber auch solche Vorschriften, die zu jenem Zeitpunkt bereits ausser Kraft getreten sind, die aber für die Beurteilung eines allenfalls früher entstandenen Rentenanspruchs von Belang sind (für das IVG: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3.2</w:t>
      </w:r>
    </w:p>
    <w:p>
      <w:r>
        <w:t>Anspruch auf eine Rente der schweizerischen Invalidenversicherung hat, wer invalid im Sinne des Gesetzes ist (Art. 8 ATSG) und beim Eintritt der Invalidität während der vom Gesetz vorgesehenen Dauer (vgl. Art. 36 Abs. 1 IVG) Beiträge an die AHV/IV geleistet hat. Diese Bedingungen müssen kumulativ gegeben sein; fehlt eine, so entsteht kein Rentenanspruch, selbst wenn die andere erfüllt ist.</w:t>
      </w:r>
    </w:p>
    <w:p>
      <w:r>
        <w:rPr>
          <w:b/>
        </w:rPr>
        <w:t>E. 3.2.1</w:t>
      </w:r>
    </w:p>
    <w:p>
      <w:r>
        <w:t>Der Beschwerdeführer hat laut Auszug vom 29. Januar 2009 aus dem individuellen Konto in den Jahren 1968 bis 2004 während insgesamt mehr als einem Jahr Beiträge an die AHV/IV geleistet (vgl. act. 72), so dass beim frühest möglichen Eintritt der Invalidität die Voraussetzung der Mindestbeitragsdauer für den Anspruch auf eine ordentliche Invalidenrente erfüllt war (vgl. Art. 36 Abs. 1 IVG in der diesbezüglich anwendbaren bis Ende 2007 gültig gewesenen Fassung).</w:t>
      </w:r>
    </w:p>
    <w:p>
      <w:r>
        <w:rPr>
          <w:b/>
        </w:rPr>
        <w:t>E. 3.2.2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bzw. dem Gericht.</w:t>
      </w:r>
    </w:p>
    <w:p>
      <w:r>
        <w:rPr>
          <w:b/>
        </w:rPr>
        <w:t>E. 3.3</w:t>
      </w:r>
    </w:p>
    <w:p>
      <w:r>
        <w:t>Gemäss Art. 28 Abs. 1 IVG (in der von 2004 bis Ende 2007 gültig gewesenen Fassung) bzw. Art. 28 Abs. 2 IVG (in der ab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Hieran hat die 5. IV-Revision nichts geändert (vgl. Art. 28 Abs. 2 IVG in der ab dem 1. Januar 2008 geltenden Fassung). Laut Art. 28 Abs. 1ter erster Satz IVG (in der von 1988 bis Ende 2007 gültig gewesenen Fassung) bzw. Art. 29 Abs. 4 erster Satz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w:t>
      </w:r>
    </w:p>
    <w:p>
      <w:r>
        <w:rPr>
          <w:b/>
        </w:rPr>
        <w:t>E. 3.4</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Sofern sich allerdings eine versicherte Person mehr als zwölf Monate nach Entstehen des Anspruchs anmeldet, werden die Leistungen gemäss den bis zum 31. Dezember 2007 in Kraft gestandenen Vorschriften lediglich für die zwölf der Anmeldung vorangehenden Monate ausgerichtet (Art. 48 Abs. 2 IVG).</w:t>
      </w:r>
    </w:p>
    <w:p>
      <w:r>
        <w:rPr>
          <w:b/>
        </w:rPr>
        <w:t>E. 3.5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w:t>
      </w:r>
    </w:p>
    <w:p>
      <w:r>
        <w:t>Die beim Beschwerdeführer seit dem 10. Januar 1999 diagnostizierten Leiden (vgl. act. 23 ff.) sind zweifelsohne als labiles pathologisches Geschehen zu qualifizieren - also als Leiden, die sowohl eine Besserung als auch eine Verschlimmerung erfahren können. Dies führt zur Anwendung von Art. 29 Abs. 1 Bst. b IVG in Verbindung mit Art. 28 Abs. 1ter erster Satz IVG in den bis Ende 2007 gültig gewesenen Fassungen, wonach dem Beschwerdeführer ein Rentenanspruch frühestens dann hätte entstehen können, wenn er während eines Jahres ohne wesentlichen Unterbruch mindestens zu 50% arbeitsunfähig gewesen wäre (Wartezeit; vgl. BGE 121 V 264 E. 5 und 6 mit Hinweisen). Allerdings könnten ihm Rentenleistungen ohnehin lediglich für die zwölf der Anmeldung vom 21. Oktober 2005 (vgl. act. 1) vorangehenden Monate und die folgende Zeit ausgerichtet werden (vgl. Art. 48 Abs. 2 IVG in der diesbezüglich anwendbaren, bis Ende 2007 gültig gewesenen Fassung). Daher ist vorliegend relevant, ob er ab dem 21. Oktober 2003 während eines Jahres zu mindestens 50% arbeitsunfähig gewesen ist und anschliessend in der Zeit vom 21. Oktober 2004 bis 10. Oktober 2008 (Erlass der angefochtenen Verfügung; vgl. E. 3.1.1 hiervor) invalid im Sinne des Gesetzes gewesen bzw. geworden ist. Unter Berücksichtigung dieser Vorgaben ist im Folgenden in Würdigung der relevanten Dokumente zu beurteilen, ob die Vorinstanz den rechtserheblichen Sachverhalt vollständig erhoben und das Leistungsbegehren vom 21. Oktober 2005 zu Recht mangels anspruchsbegründender Invalidität abgewiesen hat - was vom Beschwerdeführer bestritten wird.</w:t>
      </w:r>
    </w:p>
    <w:p>
      <w:r>
        <w:rPr>
          <w:b/>
        </w:rPr>
        <w:t>E. 4.1</w:t>
      </w:r>
    </w:p>
    <w:p>
      <w:r>
        <w:t>Die angefochtene Verfügung vom 10. Oktober 2008 erliess die Vorinstanz hauptsächlich gestützt auf die Stellungnahmen vom 13. Juni 2007, 13. Februar, 12. März und 3. Oktober 2008 von Dr. med. E._______ vom RAD Rhone (vgl. act. 41, 56, 58 und 70), welche er in seinem Bericht vom 15. Juli 2009 im Wesentlichen bestätigt hat (vgl. act. 74). Dr. med. E._______ lagen nebst Berichten von in Thailand sowie in der Schweiz auf den Gebieten der Orthopädie, Chirurgie, Onkologie und Allgemeinmedizin praktizierenden Fachärzten aus der Zeit vom 18. Mai 1999 bis 29. August 2008 (vgl. act. 23 bis 25, 27 bis 36, 38, 50 bis 52, 64 und 69) die von Dr. med. F._______ mitunterzeichnete Replik vom 31. März 2009, dessen Eingaben vom 1. und 26. Mai 2009, ein im vorliegenden Verfahren nachgereichter, undatierter und nicht unterzeichneter Briefwechsel zweier Ärzte sowie die Berichte vom 30. April 2009 von Dr. med. C._______ und vom 25. Mai 2009 von Dr. med. A._______ zur Beurteilung vor. Als Hauptdiagnosen führte Dr. med. E._______ eine offene distale Fraktur der Tibia links im Januar 1999 (ICD-10-Code S82.31), eine Arthrodese der Sprunggelenke im Jahre 2000 und eine Amputation des linken Beines unterhalb des Knies im Jahre 2003 an. Als Diagnose mit Auswirkungen auf die Arbeitsfähigkeit erwähnte er eine Überlastungsarthrose des rechten Knies (ICD-10-Code M17.5) und als Diagnosen ohne Auswirkungen auf die Arbeitsfähigkeit einen Prostatakrebs mit Metastasen in den Knochen (bestehend seit Juli 2006 sowie erkennbar remittierend seit Oktober 2007), seit 12 Jahren auftretende auditive Halluzinationen, einen akuten katatonischen Mutismus im April 2007 mit depressiver, seit Mitte September 2007 kompensierter Symptomatik und sich rasch zurückbildenden auditiven Halluzinationen sowie eine Hospitalisation vom 19. August 1991 bis 7. September 1991 infolge sekundären Alkoholismus und Zwangsneurose. Dr. med. E._______ führte im Wesentlichen aus, der Beschwerdeführer leide nicht an invalidisierenden psychischen Beschwerden. Insbesondere sei von einem Psychiater nie eine Psychose diagnostiziert worden. Selbst angesichts der auditiven Halluzinationen sei diese Diagnose nicht gerechtfertigt, zumal der Beschwerdeführer nach akutem katatonischem Mutismus im April 2007 bereits am 22. Juni 2007 wieder erwerbsfähig gewesen und erfolgreich mit Sertralin - einem Antidepressivum - behandelt worden sei. Insbesondere mit Blick auf die aktenkundigen Hospitalisationen und medizinischen Behandlungen gelangte Dr. med. E._______ zum Schluss, der Beschwerdeführer sei vom 10. Januar 1999 bis 18. Mai 1999, 25. Juni 2000 bis 4. Oktober 2000, 20. November 2003 bis 20. März 2004 und 22. April 2007 bis 21. Juni 2007 vollschichtig erwerbsunfähig gewesen. Seit seinem Unfall am 10. Januar 1999 sei er als Küchenchef - einer Tätigkeit, die er in Thailand im Rahmen seiner Tätigkeit als Bar- bzw. Restaurantmanager mit Unterbrüchen ausgeübt hat (vgl. act. 3, 5, 6, 8, 11, 15, 20, 21, 39, 40 und 52 S. 3, 4) - zu 100% arbeitsunfähig. Ausserhalb der erwähnten Perioden vollschichtiger Erwerbsunfähigkeit sei der Beschwerdeführer vom 21. März 2004 bis 20. Juli 2004 in körperlich leichten, ausschliesslich sitzenden Verweisungstätigkeiten zu 100% arbeitsfähig gewesen, und ihm seien seit dem 21. Juli 2004 leichte, vorwiegend sitzende Erwerbstätigkeiten mit maximal zwei Stunden aufrechter Körperhaltung vollschichtig zumutbar. Allerdings könne aufgrund der Akten nicht zuverlässig beurteilt werden, in welchem Ausmass ihm eine Erwerbstätigkeit als Bar- bzw. Restaurantmanager noch zumutbar sei (vgl. act. 58; vgl. auch act. 41, 56, 70 und 74).</w:t>
      </w:r>
    </w:p>
    <w:p>
      <w:r>
        <w:rPr>
          <w:b/>
        </w:rPr>
        <w:t>E. 4.2</w:t>
      </w:r>
    </w:p>
    <w:p>
      <w:r>
        <w:t>Die Stellungnahmen von Dr. med. E._______ vermögen nicht zu überzeugen. Vorab ist festzuhalten, dass die Annahme eines psychischen Gesundheitsschadens eine von einem Facharzt der Psychiatrie nach einem anerkannten wissenschaftlichen Klassifikationssystem gestellte Diagnose voraussetzt und ein - in diesem Sinne fachgerecht diagnostiziertes - psychisches Leiden nur bei Vorliegen bestimmter Kriterien, namentlich einer psychiatrischen Kommorbidität, eine zur Invalidität führende Einschränkung der Arbeitsfähigkeit zur Folge haben kann (vgl. BGE 131 V 49 E. 1.2 mit Hinweisen). Nebst den Berichten vom 25. März und 30. April 2009 der Dres. med. A._______ und C._______ sind keine von einem Psychiater erstellten Dokumente aktenkundig. Auch kann alleine dem Bericht von Dr. med. C._______ eine nach einem anerkannten wissenschaftlichen System klassifizierte Diagnose entnommen werden. Allerdings ist dieser in keiner Weise mehr relevant, beinhaltet er doch einzig Feststellungen zum vorliegend nicht zu berücksichtigenden Gesundheitszustand des Beschwerdeführers im Jahre 1991. Ferner können den psychiatrischen Berichten der Dres. med. A._______ und C._______ weder ein Leistungskalkül noch Angaben dazu entnommen werden, gestützt auf welche konkreten medizinischen Vorakten (Anamnese) sie erstellt wurden. Auch aus diesem Grunde erlauben sie keine zuverlässige Beurteilung der Auswirkungen der psychischen Leiden auf die Arbeitsfähigkeit des Beschwerdeführers im vorliegend relevanten Zeitraum - ebenso wenig wie die übrigen aktenkundigen Arztberichte und insbesondere die Ausführungen von Dr. med. F._______, stammen doch diese Dokumente nicht von Psychiatern und belegen sie ebenfalls kein nach einem anerkannten Klassifikationssystem diagnostiziertes psychisches Leiden. Angesichts des Ungenügens der Aktenlage in psychisch-psychiatrischer Hinsicht besteht ein weitergehenderer medizinischer Abklärungsbedarf. Der Beschwerdeführer leidet offenbar seit längerer Zeit an medizinisch objektivierbaren Halluzinationen - wozu sich Dr. med. E._______ nicht bzw. nicht medizinisch nachvollziehbar geäussert hat. Dieses Leiden wurde nicht nur mit dem Antidepressivum Sertralin, sondern auch mit dem bei Schizophrenie indizierten Zyprexa behandelt (vgl. act. 50 S. 4 und 5; hierzu http://www.kompendium.ch/Mono graphieTxt.aspx?lang=de&amp;MonType=fi, zuletzt besucht am 24. September 2010), so dass eine derartige Erkrankung keineswegs auszuschliessen ist. Dr. med. E._______ ist Facharzt für Allgemeinmedizin und damit für die Beurteilung der heute im Wesentlichen geltend gemachten schwerwiegenden psychischen Leiden nicht geeignet. Nach höchstrichterlicher Rechtsprechung wäre es unter den gegebenen Umständen unabdingbar gewesen, den Beschwerdeführer fachärztlich psychiatrisch beurteilen zu lassen. Im Weiteren ist festzuhalten, dass die Berichte der Dres. med. F._______ und G._______ durchaus zu berücksichtigen sind, selbst wenn ihnen - wie übrigens auch dem Bericht vom 20. Mai 2006 von Dr. med. H._______ (vgl. act. 29) - mangels detaillierter anamnestischer Angaben und/oder eines medizinisch nachvollziehbar begründeten Leistungskalküls kein erheblicher Beweiswert zukommen kann. Die Stellungnahmen von Dr. med. E._______ beinhalten indessen keine Ausführungen zu den von den Dres. med. F._______ und G._______ zusätzlich diagnostizierten Leiden (Tuberkulose, Polyposis Coli, Gicht, Gastritis, Ösophagitis und Zustand nach Hypothyreose [vgl. act. 50, 52, 64 und 69] sowie allenfalls Wirbelsäulensyndrom [vgl. Beschwerdeschrift]). Da bei einem Zusammentreffen verschiedener Gesundheitsbeeinträchtigungen der Grad der Arbeitsunfähigkeit in der Regel jedoch aufgrund einer sämtliche Behinderungen umfassenden ärztlichen Gesamtbeurteilung zu bestimmen ist (vgl. hierzu das Urteil des EVG I 850/02 vom 3. März 2003, E. 6.4.1 mit Hinweisen), sind auch diesbezüglich weitere medizinische Abklärungen erforderlich. Auch aus diesem Grunde kann auf die Stellungnahmen von Dr. med. E._______ nicht abgestellt werden.</w:t>
      </w:r>
    </w:p>
    <w:p>
      <w:r>
        <w:rPr>
          <w:b/>
        </w:rPr>
        <w:t>E. 4.3</w:t>
      </w:r>
    </w:p>
    <w:p>
      <w:r>
        <w:t>Zusammenfassend ist daher festzuhalten, dass die Dr. med. E._______ vorgelegten medizinischen Dokumente - und somit auch seine Stellungnahmen - keine ausreichend begründete, nachvollziehbare und alle streitigen Belange umfassende Auseinandersetzung mit den Auswirkungen des Gesundheitszustandes des Beschwerdeführers auf dessen Arbeitsfähigkeit im vorliegend massgebenden Zeitraum vom 21. Oktober 2003 bis zum 10. Oktober 2008 beinhalten. Ohne eine ergänzende fachärztliche Abklärung und Beurteilung ist es daher dem Bundesverwaltungsgericht nicht möglich, mit dem im Sozialversicherungsrecht üblichen Beweisgrad der überwiegenden Wahrscheinlichkeit festzustellen, ob, in welchem Umfang und für welchen Zeitraum der Beschwerdeführer Anspruch auf Ausrichtung einer Invalidenrente hat.</w:t>
      </w:r>
    </w:p>
    <w:p>
      <w:r>
        <w:rPr>
          <w:b/>
        </w:rPr>
        <w:t>E. 5</w:t>
      </w:r>
    </w:p>
    <w:p>
      <w:r>
        <w:t>Die Vorinstanz hat demnach den rechtserheblichen Sachverhalt nicht vollständig festgestellt und gewürdigt (Art. 43 ff. ATSG sowie Art. 12 VwVG). Die angefochtene Verfügung ist daher in teilweiser Gutheissung der Beschwerde aufzuheben und die Sache ist an die Vorinstanz zurückzuweisen (vgl. Art. 61 Abs. 1 VwVG). Diese ist anzuweisen, unter Berücksichtigung der aktenkundigen medizinischen Berichte eine umfassende fachärztliche, insbesondere psychiatrische, orthopädische und onkologische Abklärung und Beurteilung der Leiden des Beschwerdeführers und ihrer Auswirkungen auf seine Arbeitsfähigkeit vornehmen zu lassen, um anschliessend neu zu verfügen (Art. 61 Abs. 1 VwVG).</w:t>
      </w:r>
    </w:p>
    <w:p>
      <w:r>
        <w:rPr>
          <w:b/>
        </w:rPr>
        <w:t>E. 6</w:t>
      </w:r>
    </w:p>
    <w:p>
      <w:r>
        <w:t>Zu befinden bleibt noch über die Verfahrenskosten und eine allfällige Parteientschädigung.</w:t>
      </w:r>
    </w:p>
    <w:p>
      <w:r>
        <w:rPr>
          <w:b/>
        </w:rPr>
        <w:t>E. 6.1</w:t>
      </w:r>
    </w:p>
    <w:p>
      <w:r>
        <w:t>Angesichts des teilweisen Obsiegens des Beschwerdeführers sind keine Verfahrenskosten zu erheben (Art. 63 Abs. 1 und 2 VwVG; vgl. BGE 132 V 215 E. 6.1). Der bereits geleistete Verfahrenskostenvorschuss von Fr. 300.- ist dem Beschwerdeführer nach Eintritt der Rechtskraft des vorliegenden Urteils zurückzuerstatten.</w:t>
      </w:r>
    </w:p>
    <w:p>
      <w:r>
        <w:rPr>
          <w:b/>
        </w:rPr>
        <w:t>E. 6.2</w:t>
      </w:r>
    </w:p>
    <w:p>
      <w:r>
        <w:t>Da aufgrund der Akten feststeht, dass dem nicht durch einen Anwalt oder berufsmässig vertretenen Beschwerdeführer nur verhältnismässig geringe Kosten entstanden sind, ist von der Zusprechung einer Parteientschädigung abzusehen (Art. 64 Abs. 1 VwVG i.V.m. Art. 7 Abs. 1 und 4, Art. 8 Abs. 1 sowie Art. 9 Abs. 1 Bst. a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