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C-6847/2008 vom 25. Oktober 2010</w:t>
      </w:r>
    </w:p>
    <w:p>
      <w:r>
        <w:t>Bundesverwaltungsgericht, 2010-10-25, FR</w:t>
      </w:r>
    </w:p>
    <w:p>
      <w:r>
        <w:rPr>
          <w:b/>
        </w:rPr>
        <w:t xml:space="preserve">Quelle: </w:t>
      </w:r>
      <w:r>
        <w:t>https://mcp.opencaselaw.ch/entscheid/bvger_C-6847_2008</w:t>
      </w:r>
    </w:p>
    <w:p>
      <w:r>
        <w:t>FR: TAF C-6847/2008 du 25 octobre 2010</w:t>
      </w:r>
    </w:p>
    <w:p>
      <w:r>
        <w:t>IT: TAF C-6847/2008 del 25 ottobre 2010</w:t>
      </w:r>
    </w:p>
    <w:p>
      <w:pPr>
        <w:pStyle w:val="Heading2"/>
      </w:pPr>
      <w:r>
        <w:t>Regeste</w:t>
      </w:r>
    </w:p>
    <w:p>
      <w:r>
        <w:t>Assurance-invalidité (AI)</w:t>
      </w:r>
    </w:p>
    <w:p>
      <w:pPr>
        <w:pStyle w:val="Heading2"/>
      </w:pPr>
      <w:r>
        <w:t>Erwägungen</w:t>
      </w:r>
    </w:p>
    <w:p>
      <w:r>
        <w:rPr>
          <w:b/>
        </w:rPr>
        <w:t>E. 10</w:t>
      </w:r>
    </w:p>
    <w:p>
      <w:r>
        <w:t>Les frais de procédure, fixés à Fr. 300.--, sont mis à la charge du recourant (art. 69 al. 1bis LAI et art. 63 al. 1 PA, applicable par renvoi de l'art. 37 LTAF). Ils sont entièrement compensés par l'avance de frais du même montant effectuée en date du 28 janvier 2009. Vu l'issue du litige, il n'est pas alloué d'indemnité de dépens (art. 7 al.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