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C-6845/2009 vom 9. August 2011</w:t>
      </w:r>
    </w:p>
    <w:p>
      <w:r>
        <w:t>Bundesverwaltungsgericht, 2011-08-09, DE</w:t>
      </w:r>
    </w:p>
    <w:p>
      <w:r>
        <w:rPr>
          <w:b/>
        </w:rPr>
        <w:t xml:space="preserve">Quelle: </w:t>
      </w:r>
      <w:r>
        <w:t>https://mcp.opencaselaw.ch/entscheid/bvger_C-6845_2009</w:t>
      </w:r>
    </w:p>
    <w:p>
      <w:r>
        <w:t>FR: TAF C-6845/2009 du 9 août 2011</w:t>
      </w:r>
    </w:p>
    <w:p>
      <w:r>
        <w:t>IT: TAF C-6845/2009 del 9 agosto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2007/41 E. 2 und Urteil des BVGer A-2682/2007 vom 7. Oktober 2010 E. 1.2 und 1.3).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AuG).</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2 Bst. c SGK).</w:t>
      </w:r>
    </w:p>
    <w:p>
      <w:r>
        <w:rPr>
          <w:b/>
        </w:rPr>
        <w:t>E. 5.4</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der Kosovo zu diesen Staaten zählt, unterliegt die Gesuchstellerin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Am 17. Februar 2008 erklärte das kosovarische Parlament die Unabhängigkeit des Landes, die am 26. Februar 2008 von der Schweiz und mittlerweile von 76 Staaten völkerrechtlich anerkannt wurde. Die Sicherheitslage im Kosovo konnte zwar im Verlaufe der letzten Jahre weitgehend stabilisiert werden; auch ist der Wiederaufbau von Administration und Infrastruktur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 sie betrug gemäss den letzten offiziellen Zahlen im Jahr 2007 immer noch 43,6% - bleibt hartnäckig hoch. So sind mehr als die Hälfte der Erwerbsfähigen ohne oder zumindest ohne regelmässiges Einkommen. Der Armutsanteil der Bevölkerung im Kosovo liegt bei 45%; 15% der Staatsbürger leben sogar in extremer Armut (vgl. &lt;www.worldbank.org&gt;Countries&gt;Kosovo&gt;Overview&gt;Country Brief, Oktober 2010, besucht im Juni 2011).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der Gesuchstellerin, was sich auch in der schweizerischen Asylstatistik widerspiegelt. So stammten im Jahr 2010 4,3% der Asylsuchenden aus dem Kosovo, der damit in der Statistik der Asylgesuche nach Nationen - mit insgesamt 602 Gesuchen - an achter Stelle stand (Quelle: Bundesamt für Migration, www.bfm.admin. ch&gt; Themen&gt; Statistiken&gt; Asylstatistik&gt;Jahresstatistiken&gt;kommentierte Asylstatistik 2010, S. 3). Seit dem 1. April 2009 gilt der Kosovo zwar als verfolgungssicherer Staat (Safe Country), dies gemäss Beschluss des Bundesrates vom 6. März 2009. Es wird sich aber zeigen müssen, ob und falls ja, welchen Einfluss dies auf künftige Asylbewerberzahlen haben wird. Immerhin stellten im ersten Halbjahr 2011 immer noch 286 Personen aus dem Kosovo ein Asylgesuch, womit dieses Land statistisch nach wie vor die achte Stelle unter den Herkunftsländern einnimmt (Quelle: Bundesamt für Migration, a.a.O., kommentierte Asylstatistik 2. Quartal 2011, S. 8).</w:t>
      </w:r>
    </w:p>
    <w:p>
      <w:r>
        <w:rPr>
          <w:b/>
        </w:rPr>
        <w:t>E. 6.4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Erfahrungsgemäss wird die Tendenz zur Auswanderung dort noch begünstigt, wo bereits ein soziales Beziehungsnetz (Verwandte, Freunde) im Ausland besteht.</w:t>
      </w:r>
    </w:p>
    <w:p>
      <w:r>
        <w:rPr>
          <w:b/>
        </w:rPr>
        <w:t>E. 7.1</w:t>
      </w:r>
    </w:p>
    <w:p>
      <w:r>
        <w:t>Die Gesuchstellerin ist 33 Jahre alt, ledig und arbeitslos. Der Beschwerdeschrift ist zu entnehmen, dass sie mit ihren Eltern, einem Bruder und dessen Ehefrau im gleichen Haushalt lebt. Nicht erkennbar ist, welche Verpflichtungen die Gesuchstellerin nachhaltig von einer Emigration abhalten könnten. Auch der vom Beschwerdeführer - in seinem Schreiben an das Migrationsamt Zürich vom 31. August 2009 - behauptete Umstand, sie unterstütze ihre Eltern und insbesondere den invaliden Vater, vermag an dieser Einschätzung nichts zu ändern, denn allenfalls könnten die anderen im gleichen Haushalt lebenden Familienangehörigen diese Betreuung übernehmen. Auch wenn der Beschwerdeführer im selben Schreiben versichert hat, sein Gast werde nach der Rückkehr in den Kosovo wieder mit der Familie zusammenwohnen und - bei Verzicht auf eine eigene Berufstätigkeit - weiterhin die Eltern unterstützen, so erscheint dadurch das vorgängig beschriebene Risiko nicht geschmälert. Der Umstand, dass die Gesuchstellerin in ihrer Heimat bisher nicht einmal ihren eigenen Lebensunterhalt verdienen konnte, verstärkt vielmehr die Befürchtung, sie könnte einen künftigen Verbleib in der Schweiz beabsichtigen.</w:t>
      </w:r>
    </w:p>
    <w:p>
      <w:r>
        <w:rPr>
          <w:b/>
        </w:rPr>
        <w:t>E. 7.2</w:t>
      </w:r>
    </w:p>
    <w:p>
      <w:r>
        <w:t>Zu Recht hat die Vorinstanz des Weiteren darauf hingewiesen, der beabsichtigte Reisezweck könne nicht mit einem Besuchervisum geregelt werden. So hat der Beschwerdeführer in seinem Schreiben an das Migrationsamt Zürich vom 31. August 2009 als Reisegrund der Gesuchstellerin angegeben, diese werde sich hauptsächlich zur Betreuung seines Sohnes sowie zur Entlastung seiner Ehefrau als Haushaltshilfe bei ihnen aufhalten. Dieser Besuchszweck dient jedoch eindeutig einer bewilligungspflichtigen Erwerbstätigkeit. Arbeitsleistungen in Haushalt und/oder Familie - selbst wenn sie nur stunden- oder tageweise bzw. vorübergehend ausgeübt werden - gelten nämlich unbesehen einer allfälligen Entlöhnung zumindest dort als (bewilligungspflichtige) Erwerbstätigkeit, wo der Erwerbscharakter nicht durch eine besondere verwandtschaftliche und emo­tionale Nähe in den Hintergrund gedrängt wird (vgl. Art. 11 Abs. 2 AuG i.V.m. Art. 1a Abs. 1 der Verordnung vom 24. Oktober 2007 über Zulassung, Aufenthalt und Erwerbstätigkeit [VZAE, SR 142.201]; Urteil des Bundesverwaltungsgerichts C-6243/2008 vom 8. Juli 2010 E. 6 mit weiteren Hinweisen).</w:t>
      </w:r>
    </w:p>
    <w:p>
      <w:r>
        <w:rPr>
          <w:b/>
        </w:rPr>
        <w:t>E. 8</w:t>
      </w:r>
    </w:p>
    <w:p>
      <w:r>
        <w:t>Gestützt auf die vorstehenden Erwägungen durfte die Vorinstanz die Erteilung eines Schengen-Visums verweigern.</w:t>
      </w:r>
    </w:p>
    <w:p>
      <w:r>
        <w:rPr>
          <w:b/>
        </w:rPr>
        <w:t>E. 8.1</w:t>
      </w:r>
    </w:p>
    <w:p>
      <w:r>
        <w:t>Zum einen durfte die Vorinstanz von einer nicht fristgerechten Wiederausreise der Gesuchstellerin ausgehen, eine Einschätzung, die sich nicht zu einer völlig gesicherten Feststellung verdichten lässt, die aber ausreicht, um die Erteilung einer Einreisebewilligung - auf die, wie erwähnt, ohnehin kein Rechtsanspruch besteht - abzulehnen. An der Richtigkeit dieser Einschätzung vermag auch die Tatsache nichts zu ändern, dass der Beschwerdeführer wiederholt die finanzielle Unterstützung für die Eingeladene zugesichert hat. Die Integrität des Beschwerdeführers wird denn auch in keiner Weise in Zweifel gezogen. Die von ihm eingegangenen Verpflichtungen umfassen jedoch ausschliesslich das Risiko ungedeckter Kosten im Zusammenhang mit dem beabsichtigten Besuchsaufenthalt und sind betragsmässig nach oben beschränkt (Art. 8 Abs. 5 VEV). Demgegenüber kann der Beschwerdeführer in seiner Rolle als Gastgeber für ein bestimmtes Tun oder Unterlassen des Gastes nicht rechtswirksam einstehen (vgl. zum Ganzen BVGE 2009/27 E. 9).</w:t>
      </w:r>
    </w:p>
    <w:p>
      <w:r>
        <w:rPr>
          <w:b/>
        </w:rPr>
        <w:t>E. 8.2</w:t>
      </w:r>
    </w:p>
    <w:p>
      <w:r>
        <w:t>Zum anderen steht fest, dass der dargelegte Besuchszweck eine normalerweise auf Erwerb ausgerichtete Tätigkeit beinhaltet und daher nicht zulässig wäre (vgl. Art. 5 Abs. 1 Bst. b und Abs. 2 AuG sowie Art. 11 Abs. 1 AuG). Auch dieser Umstand schliesst die Erteilung einer Einreisebewilligung aus.</w:t>
      </w:r>
    </w:p>
    <w:p>
      <w:r>
        <w:rPr>
          <w:b/>
        </w:rPr>
        <w:t>E. 9</w:t>
      </w:r>
    </w:p>
    <w:p>
      <w:r>
        <w:t>Gründe für die Ausstellung eines Visums mit räumlich beschränkter Gültigkeit (vgl. E. 5.3 vorstehend) wurden vom Beschwerdeführer nicht geltend gemacht und sich auch sonst nicht ersichtlich.</w:t>
      </w:r>
    </w:p>
    <w:p>
      <w:r>
        <w:rPr>
          <w:b/>
        </w:rPr>
        <w:t>E. 10</w:t>
      </w:r>
    </w:p>
    <w:p>
      <w:r>
        <w:t>Aus diesen Darlegungen folgt, dass die angefochtene Verfügung rechtmässig ist (Art. 49 VwVG). Die Beschwerde ist demzufolge abzuweisen.</w:t>
      </w:r>
    </w:p>
    <w:p>
      <w:r>
        <w:rPr>
          <w:b/>
        </w:rPr>
        <w:t>E. 11</w:t>
      </w:r>
    </w:p>
    <w:p>
      <w:r>
        <w:t>Bei diesem Ausgang des Verfahrens wird der unterliegende Beschwerdeführer kostenpflichtig (Art. 63 Abs. 1 VwVG i.V.m. Art. 1, 2 und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