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C-6839/2007 vom 3. März 2009</w:t>
      </w:r>
    </w:p>
    <w:p>
      <w:r>
        <w:t>Bundesverwaltungsgericht, 2009-03-03, DE</w:t>
      </w:r>
    </w:p>
    <w:p>
      <w:r>
        <w:rPr>
          <w:b/>
        </w:rPr>
        <w:t xml:space="preserve">Quelle: </w:t>
      </w:r>
      <w:r>
        <w:t>https://mcp.opencaselaw.ch/entscheid/bvger_C-6839_2007</w:t>
      </w:r>
    </w:p>
    <w:p>
      <w:r>
        <w:t>FR: TAF C-6839/2007 du 3 mars 2009</w:t>
      </w:r>
    </w:p>
    <w:p>
      <w:r>
        <w:t>IT: TAF C-6839/2007 del 3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Der Beschwerdeführer rügt in formeller Hinsicht eine Verletzung der Begründungspflicht, indem die Vorinstanz das Einreisegesuch in pauschaler Weise abgelehnt habe, ohne auf den Einzelfall einzugehen.</w:t>
      </w:r>
    </w:p>
    <w:p>
      <w:r>
        <w:rPr>
          <w:b/>
        </w:rPr>
        <w:t>E. 3.2</w:t>
      </w:r>
    </w:p>
    <w:p>
      <w:r>
        <w:t>Gemäss Art. 35 Abs. 1 VwVG sind schriftliche Verfügungen zu begründen. Die Begründungspflicht soll unter anderem sicherstellen, dass der Entscheid von der betroffenen Partei sachgerecht angefochten und von der Rechtsmittelinstanz umfassend beurteilt werden kann. Die verfügende Behörde muss daher kurz die Überlegungen nennen, von denen sie sich leiten liess und auf die sich der Entscheid stützt (vgl. PIERRE TSCHANNEN / ULRICH ZIMMERLI, Allgemeines Verwaltungsrecht, 2. Aufl., Bern 2005, § 29 Rz. 13; ALFRED KÖLZ / ISABELLE HÄNER, Verwaltungsverfahren und Verwaltungsrechtspflege des Bundes, 2. Aufl., Zürich 1998, S. 128).</w:t>
      </w:r>
    </w:p>
    <w:p>
      <w:r>
        <w:rPr>
          <w:b/>
        </w:rPr>
        <w:t>E. 3.3</w:t>
      </w:r>
    </w:p>
    <w:p>
      <w:r>
        <w:t>Das BFM geht in der angefochtenen Verfügung insofern auf die Verhältnisse des Gesuchstellers ein, als es beurteilend feststellt, er habe in seinem Heimatland weder zwingende berufliche oder gesellschaftliche Verpflichtungen noch familiäre Verantwortlichkeiten, die verlässlich von einer Emigration abhalten könnten. Diese Feststellungen liessen erkennen, welche Massstäbe die Vorinstanz im Zusammenhang mit der Gewähr für eine fristgerechte Wiederausreise setzt und erlaubten dem Beschwerdeführer, sachgerecht Einwände zu erheben. Die diesbezügliche Rüge erweist sich somit als offensichtlich unbegründet.</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thailändischer Staatsangehöriger unterliegt der Gesuchsteller damit der Visumspflicht.</w:t>
      </w:r>
    </w:p>
    <w:p>
      <w:r>
        <w:rPr>
          <w:b/>
        </w:rPr>
        <w:t>E. 8.1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8.2</w:t>
      </w:r>
    </w:p>
    <w:p>
      <w:r>
        <w:t>Anhaltspunkte zur Beurteilung der fristgerechten Wiederausreise können sich aus der allgemeinen Lage im Herkunftsland der Besucherin oder des Besuchers ergeben. Die Wirtschaft Thailands hat sich nach der Asienkrise von 1997/98 überraschend schnell erholt. Das Wachstum des Bruttoinlandproduktes zog von 2001 (2.2 %) bis 2003 (7.1 %) respektive 2004 (6.3 %) stark an. In den Jahren 2005 bis 2007 verlangsamte sich das Wirtschaftswachstum jedoch mit einer Wachstumsrate von 4.5 %, 5.1 % und 4.8 %, was auf die innenpolitische Unsicherheit, aufkommende Gewalt in den vier südlichsten Provinzen des Landes und Auswirkungen des verheerenden Tsunami von 2004 zurückzuführen ist (Quelle: U.S. Departement of State, &lt;http://www.state.gov&gt;, Travel &gt; Countries and Regions &gt; Background Notes &gt; Thailand, Stand: Januar 2009, besucht am 26. Februar 2009). Die grundsätzlich ermutigende wirtschaftliche Entwicklung kann nicht über die Tatsache hinwegtäuschen, dass nach wie vor breite Bevölkerungsschichten von vergleichsweise schwierigen ökonomischen und sozialen Lebensbedingungen betroffen sind. Das Bruttoinlandprodukt (BIP) pro Kopf betrug im Jahre 2007 nur gerade USD 3'737 (Quelle: Staatssekretariat für Wirtschaft, &lt;http://www.seco.admin.ch&gt;, Themen &gt; Aussenwirtschaft &gt; Länderinformationen &gt; Asien/Ozeanien &gt; Thailand, Stand: Juni 2008, besucht am 26. Februar 2009). Entsprechend hoch ist der Anteil jener, die versuchen, ins Ausland zu gelangen, um sich unter günstigeren Lebensbedingungen eine bessere Existenz aufbauen respektive sichern zu können. Der Trend zeigt sich erfahrungsgemäss dort besonders stark, wo durch die Anwesenheit von Verwandten oder Bekannten bereits ein minimales soziales Beziehungsnetz im Ausland besteht. Im Falle der Schweiz führt dies angesichts der restriktiven Zulassungsregelung nicht selten zur Umgehung ausländerrechtlicher Bestimmungen.</w:t>
      </w:r>
    </w:p>
    <w:p>
      <w:r>
        <w:rPr>
          <w:b/>
        </w:rPr>
        <w:t>E. 8.3</w:t>
      </w:r>
    </w:p>
    <w:p>
      <w:r>
        <w:t>Der Beschwerdeführer bringt in diesem Zusammenhang vor, die Berufung auf die Zuwanderung aus der Herkunftsregion des Gesuchstellers sowie der Hinweis auf die in zahlreichen Fällen gemachten Erfahrungen sei zu pauschalisiert und verstosse gegen das Diskriminierungsverbot. Dazu ist klarzustellen, dass es in der Tat zu schematisch und nicht haltbar wäre, generell und ohne spezifische Anhaltspunkte, ausschliesslich aufgrund der politischen und/oder wirtschaftlichen Situation im Heimatland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8.4</w:t>
      </w:r>
    </w:p>
    <w:p>
      <w:r>
        <w:t>Bei der Risikoanalyse sind aber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Gesuchstellerinnen und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9.1</w:t>
      </w:r>
    </w:p>
    <w:p>
      <w:r>
        <w:t>Beim Eingeladenen handelt es sich um einen 28-jährigen, ledigen Mann, welcher den Angaben des Beschwerdeführers zufolge eine starke Bindung zu seiner in Thailand lebenden Familie, insbesondere zu seiner Mutter, haben soll. Auf den ersten Blick könnte der Umstand, dass der Gesuchsteller für die Dauer des Besuchsaufenthaltes in der Schweiz seine Familienangehörigen in der Heimat zurücklassen würde, durchaus für eine gewisse Verwurzelung sprechen. Andererseits zeigt die Erfahrung, dass zurückbleibende Angehörige gerade in Situationen angespannter wirtschaftlicher Verhältnisse nicht verlässlich davon abhalten können, den Entschluss für eine Emigration zu fällen. Im Gegenteil, der Entscheid kann dabei von der Hoffnung getragen sein, die Verwandten aus dem Ausland wirtschaftlich besser unterstützen zu können.</w:t>
      </w:r>
    </w:p>
    <w:p>
      <w:r>
        <w:rPr>
          <w:b/>
        </w:rPr>
        <w:t>E. 9.2</w:t>
      </w:r>
    </w:p>
    <w:p>
      <w:r>
        <w:t>Entsprechend grosse Bedeutung kommt deshalb den wirtschaftlichen Verhältnissen zu, in denen sich der Gesuchsteller befindet. Anlässlich seiner Gesuchseinreichung machte er weder Angaben zu seiner beruflichen Tätigkeit noch zu einem allfälligen Arbeitgeber (vgl. Ziff. 9 und 10 des persönlichen Einreisegesuches vom 16. Juli 2007). Gegenüber der kantonalen Migrationsbehörde hielt der Beschwerdeführer am 28. August 2007 schriftlich fest, er habe den Eingeladenen im Dezember 2006 als Kellner in einer Bar in Pattaya kennen gelernt. Auf die Frage, welcher (aktuellen) Tätigkeit sein Gast im Heimatland nachgehe, wies der Beschwerdeführer lediglich darauf hin, dass jener zurzeit seine Familie unterstütze und die Rolle des Vaters übernehme, weil Letzterer aus beruflichen Gründen abwesend sei. Für die Annahme, der Eingeladene ginge in der Zwischenzeit (wieder) einer geregelten Erwerbstätigkeit nach und sei in der Arbeitswelt integriert, ergeben sich aus den Akten jedenfalls keine Anhaltspunkte. Der Beschwerdeführer, welcher die Vermögensverhältnisse des eingeladenen Freundes weder im vorinstanzlichen Verfahren noch auf Beschwerdeebene offen legte, macht denn auch nicht geltend, dieser lebe in wirtschaftlich günstigen Verhältnissen, die ihn verlässlich von einer Emigration abzuhalten vermöchten. Vor diesem Hintergrund müssen die Vorbringen auf Beschwerdeebene, wonach genügend Garantien für eine fristgerechte Wiederausreise vorhanden seien, als nicht ausschlaggebend bezeichnet werden. Im Übrigen hegte auch die Schweizerische Vertretung in Bangkok, welche mit den sozialen, wirtschaftlichen und politischen Verhältnissen im Herkunftsstaat des Gesuchstellers gut vertraut ist und sich somit durchaus ein Bild des Einreisewilligen machen kann, grosse Bedenken bezüglich der anstandslosen Wiederausreise und verweigerte formlos die Einreisebewilligung.</w:t>
      </w:r>
    </w:p>
    <w:p>
      <w:r>
        <w:rPr>
          <w:b/>
        </w:rPr>
        <w:t>E. 9.3</w:t>
      </w:r>
    </w:p>
    <w:p>
      <w:r>
        <w:t>Unter den gegebenen Umständen durfte die Vorinstanz zu Recht davon ausgehen, die Wiederausreise des Gesuchstellers sei im Sinne der massgeblichen Bestimmungen nicht gesichert. An der Richtigkeit dieser Einschätzung ändert auch die Tatsache nichts, dass der Beschwerdeführer wiederholt die rechtzeitige Rückkehr des Eingeladenen zugesichert hat, denn eine solche Garantie ist trotz bester und ehrlicher Absichten nicht möglich bzw. rechtlich nicht durchsetzbar. Gastgeber können zwar für gewisse finanzielle Risiken im Zusammenhang mit dem Besuchsaufenthalt, nicht aber für ein bestimmes Verhalten ihrer Gäste garantieren (vgl. anstelle vieler: Urteil des Bundesverwaltungsgerichts C-6950/2007 vom 7. November 2008 E. 8). Der (durchaus verständliche) Wunsch des Beschwerdeführers, sich beim Eingeladenen für dessen Gastfreundschaft zu revanchieren, hat demnach in den Hintergrund zu treten. Auch die weiteren Ausführungen des Beschwerdeführers sind nicht geeignet, zu einer von der Vorinstanz abweichenden, rechtlichen Würdigung zu gelangen.</w:t>
      </w:r>
    </w:p>
    <w:p>
      <w:r>
        <w:rPr>
          <w:b/>
        </w:rPr>
        <w:t>E. 10</w:t>
      </w:r>
    </w:p>
    <w:p>
      <w:r>
        <w:t>Aus diesen Gründen ist somit nicht zu beanstanden, dass die Vorinstanz das öffentliche Interesse sowie die Beachtung der geltenden Bestimmungen entsprechend gewichtete und dem Gesuchsteller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11</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