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C-6837/2013 vom 15. Juli 2016</w:t>
      </w:r>
    </w:p>
    <w:p>
      <w:r>
        <w:t>Bundesverwaltungsgericht, 2016-07-15, DE</w:t>
      </w:r>
    </w:p>
    <w:p>
      <w:r>
        <w:rPr>
          <w:b/>
        </w:rPr>
        <w:t xml:space="preserve">Quelle: </w:t>
      </w:r>
      <w:r>
        <w:t>https://mcp.opencaselaw.ch/entscheid/bvger_C-6837_2013</w:t>
      </w:r>
    </w:p>
    <w:p>
      <w:r>
        <w:t>FR: TAF C-6837/2013 du 15 juillet 2016</w:t>
      </w:r>
    </w:p>
    <w:p>
      <w:r>
        <w:t>IT: TAF C-6837/2013 del 15 luglio 2016</w:t>
      </w:r>
    </w:p>
    <w:p>
      <w:pPr>
        <w:pStyle w:val="Heading2"/>
      </w:pPr>
      <w:r>
        <w:t>Regeste</w:t>
      </w:r>
    </w:p>
    <w:p>
      <w:r>
        <w:t>Alters- und Hinterlassenenversicherung (Übriges)</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Die separaten Einspracheentscheide der Schweizerischen Ausgleichskasse SAK vom 30. Oktober 2013 stellen Verfügungen nach Art. 5 VwVG dar. Eine Ausnahme nach Art. 32 VGG liegt nicht vor. Das Bundesverwaltungsgericht ist zur Beurteilung der Beschwerden zuständig.</w:t>
      </w:r>
    </w:p>
    <w:p>
      <w:r>
        <w:rPr>
          <w:b/>
        </w:rPr>
        <w:t>E. 1.2</w:t>
      </w:r>
    </w:p>
    <w:p>
      <w:r>
        <w:t>Die Beschwerdeführenden haben am Verfahren vor der Vorinstanz teilgenommen, sind durch die angefochtenen Einspracheentscheide als Adressaten in besonderer Weise berührt und haben an der Aufhebung oder Änderung ein schutzwürdiges Interesse (Art. 48 Abs. 1 VwVG; vgl. auch Art. 59 des Bundesgesetzes vom 6. Oktober 2000 über den Allgemeinen Teil des Sozialversicherungsrechts [ATSG, SR 830.1]). Die Beschwerdeführenden sind zur Beschwerde legitimiert.</w:t>
      </w:r>
    </w:p>
    <w:p>
      <w:r>
        <w:rPr>
          <w:b/>
        </w:rPr>
        <w:t>E. 1.3</w:t>
      </w:r>
    </w:p>
    <w:p>
      <w:r>
        <w:t>Der angefochtenen Einspracheentscheide datieren vom 30. Oktober 2013 und gingen (soweit ersichtlich) am 5. November beim Rechtsvertreter 2013 ein. Die Beschwerdeschriften wurde gemäss Poststempel am 5. Dezember 2013 (...) aufgegeben und gingen am 6. Dezember 2013 beim Bundesverwaltungsgericht ein (BVGer act. 1). Berechnet sich eine Frist nach Tagen oder Monaten und bedarf sie der Mitteilung an die Parteien, so beginnt sie am Tag nach ihrer Mitteilung zu laufen (Art. 38 Abs. 1 ATSG). Die beiden Beschwerden wurden fristgerecht innerhalb von dreissig Tagen nach Eröffnung der angefochtenen Einspracheentscheide eingereicht (Art. 60 ATSG).</w:t>
      </w:r>
    </w:p>
    <w:p>
      <w:r>
        <w:rPr>
          <w:b/>
        </w:rPr>
        <w:t>E. 1.4</w:t>
      </w:r>
    </w:p>
    <w:p>
      <w:r>
        <w:t>Die Beschwerden enthalten einen Antrag und eine Begründung und wurden vom Rechtsvertreter unterschrieben (BVGer act. 1). Zumindest ein angefochtener Einspracheentscheid, die Stellungnahme der Beschwerdegegnerin vom 24. Oktober 2013 und eine Vollmacht für den Rechtsvertreter vom 4. Oktober 2010 wurden beigelegt. Die Beschwerden wurden formgerecht eingereicht (Art. 52 Abs. 1 VwVG). Auf die Beschwerden vom 5. Dezember 2013 ist deshalb einzutreten.</w:t>
      </w:r>
    </w:p>
    <w:p>
      <w:r>
        <w:rPr>
          <w:b/>
        </w:rPr>
        <w:t>E. 2</w:t>
      </w:r>
    </w:p>
    <w:p>
      <w:r>
        <w:t>Mit je einem separaten Einspracheentscheid vom 30. Oktober 2013 (act. 27; Ehefrau act. 13) wies die Vorinstanz die Einsprache der Beschwerdeführenden unter Beilage der Stellungnahme der Beschwerdegegnerin vom 24. Oktober 2013 (act. 26; Ehefrau act. 15, Seite 10 f.) ab. Sie hielt am Entzug der aufschiebenden Wirkung fest und führte aus, sie werde zur Verrechnung der Schuld ab dem kommenden November (2013) monatlich je Fr. 400.- von den Rentenzahlungen in Abzug bringen. Grundsätzlich bildet jeder vorinstanzliche Entscheid ein selbstständiges Anfechtungsobjekt. Es rechtfertigt sich jedoch, von diesem Grundsatz abzuweichen und - in sinngemässer Anwendung von Art. 24 BZP (SR 273) i.V.m. Art. 4 VwVG - die Anfechtung in einer gemeinsamen Beschwerdeschrift und in einem gemeinsamen Verfahren mit einem einzigen Urteil zuzulassen, wenn die einzelnen Sachverhalte in einem engen inhaltlichen Zusammenhang stehen oder gar identisch sind und sich in allen Fällen gleiche oder ähnliche Rechtsfragen stellen. Ein solches Vorgehen dient der Verfahrensökonomie und liegt im Interesse aller Beteiligten. Die instruierende Behörde verfügt in dieser Frage über einen grossen Ermessensspielraum und kann die Vereinigung in jedem Stadium des Verfahrens anordnen. Die Zusammenlegung des Verfahrens braucht dabei nicht in einer selbständig anfechtbaren Zwischenverfügung angeordnet zu werden (vgl. Handbücher für die Anwaltspraxis, Band X, Prozessieren vor dem Bundesverwaltungsgericht, André MOSER/Michael BEUSCH/Lorenz KNEUBÜHLER, 2. Auflage 2013, Ziff. 3.17 S. 144; vgl. BGE 131 V 222 E. 1; BGE 123 V 214 E. 1; BGE 128 V 124 E. 1 mit Hinweisen). Nachdem die Beschwerdeführenden keinen entsprechenden Gegenbericht erstattet haben (BVGer act. 25, 30), ist das Beschwerdeverfahren von B._______ mit dem Beschwerdeverfahren von A._______ zu vereinigen und im Namen von A._______ als Rechtsnachfolger seiner verstorbenen Ehefrau unter der Verfahrensnummer C-6837/ 2013 fortzusetzen. Die Beschwerden von A._______ und B._______ (BVGer act. 1) werden somit nachfolgend gemeinsam beurteilt.</w:t>
      </w:r>
    </w:p>
    <w:p>
      <w:r>
        <w:rPr>
          <w:b/>
        </w:rPr>
        <w:t>E. 3</w:t>
      </w:r>
    </w:p>
    <w:p>
      <w:r>
        <w:t>Im Folgenden sind die im vorliegenden Beschwerdeverfahren anwendbaren Normen und Rechtsgrundsätze darzustellen.</w:t>
      </w:r>
    </w:p>
    <w:p>
      <w:r>
        <w:rPr>
          <w:b/>
        </w:rPr>
        <w:t>E. 3.1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ZAK 1989 S. 320 E. 2; zum Grundsatz der freien Beweiswürdigung: BGE 125 V 351 E. 3a).</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3.5</w:t>
      </w:r>
    </w:p>
    <w:p>
      <w:r>
        <w:t>Das Sozialversicherungsverfahren ist vom Untersuchungsgrundsatz beherrscht (Art. 43 ATSG).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3.6</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3.7</w:t>
      </w:r>
    </w:p>
    <w:p>
      <w:r>
        <w:t>Der Untersuchungsgrundsatz schliesst die Beweislast im Sinne einer Beweisführungslast begriffsnotwendig aus, da es Sache der Verwaltung und im Beschwerdeverfahren des Gerichts ist, für die Zusammentragung des Beweismaterials besorgt zu sein. Im Sozialversicherungsverfahren und -prozess tragen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somit die beweisbelastete Partei (Fritz Gygi, a.a.O., S. 208).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Urteil des BGer 8C_448/2010 vom 19. November 2010 E. 4.1).</w:t>
      </w:r>
    </w:p>
    <w:p>
      <w:r>
        <w:rPr>
          <w:b/>
        </w:rPr>
        <w:t>E. 3.8</w:t>
      </w:r>
    </w:p>
    <w:p>
      <w:r>
        <w:t>A._______ besitzt neben der ungarischen auch die schweizerische Staatsbürgerschaft. Die (...) 2014 verstorbene B._______ war ebenfalls ungarische und schweizerische Staatsangehörige. Die anschliessende Prüfung der Verrechnung beurteilt sich daher nach schweizerischem Recht (vgl. Urteil des BVGer C-587/2014 und C-588/2014 vom 2. Juni 2015 E. 3.6). Gemäss Art. 20 Abs. 2 Bst. b AHVG und Art. 27 der Verordnung vom 15. Januar 1971 über die Ergänzungsleistungen zur Alters-, Hinterlassenen- und Invalidenversicherung (ELV, SR 831.301) können Rückforderungen von Ergänzungsleistungen mit fälligen AHV-Renten verrechnet werden. Sind die Voraussetzungen für eine Verrechnung erfüllt, so ist die zuständige Behörde auch verpflichtet, eine solche vorzunehmen, da Art. 20 Abs. 2 AHVG zwingenden Charakter hat (BGE 115 V 341 E. 2.a). Nach der Rechtsprechung darf die Verrechnung mit der Rente aber nur insoweit erfolgen, als der Verrechnungsabzug das betreibungsrechtliche Existenzminimum nicht beeinträchtigt (vgl. BGE 131 V 249 E. 1.2 und E. 3.3 m. H.).</w:t>
      </w:r>
    </w:p>
    <w:p>
      <w:r>
        <w:rPr>
          <w:b/>
        </w:rPr>
        <w:t>E. 4</w:t>
      </w:r>
    </w:p>
    <w:p>
      <w:r>
        <w:t>Vorliegend sind Fälligkeit und Höhe der Rückforderung von Fr. 38'173.- nicht bestritten. Zu prüfen ist, ob das betreibungsrechtliche Existenzminimum durch den Verrechnungsabzug von je Fr. 400.- tangiert ist.</w:t>
      </w:r>
    </w:p>
    <w:p>
      <w:r>
        <w:rPr>
          <w:b/>
        </w:rPr>
        <w:t>E. 4.1</w:t>
      </w:r>
    </w:p>
    <w:p>
      <w:r>
        <w:t>Nach den Angaben der Beschwerdegegnerin in der Stellungnahme vom 24. Oktober 2013 (act. 26; Ehefrau act. 15, Seite 10 f.) verblieb den Beschwerdeführenden nach dem teilweisen Einbehalt der Altersrenten im Umfang von je Fr. 400.- ein monatliches Einkommen von immerhin HUF 308'278.-. Dieses Einkommen setzt sich zusammen aus den beiden AHV-Renten von je Fr. 278.- und den beiden ungarischen Renten von damals HUF 96'755.- und HUF 78'895.-. Für die ungarischen Renten fehlen Belege in den Akten der Vorinstanz (vgl. hierzu die Angaben auf Seite 11 des Rapports der Kantonspolizei E._______ vom 21. Oktober 2013 in BVGer act. 6, Beilage). Gleichwohl ist nachfolgend auf das monatliche Einkommen von HUF 308'278.- abzustellen, da dieser Betrag von den Beschwerdeführenden nicht bestritten wurde.</w:t>
      </w:r>
    </w:p>
    <w:p>
      <w:r>
        <w:rPr>
          <w:b/>
        </w:rPr>
        <w:t>E. 4.2</w:t>
      </w:r>
    </w:p>
    <w:p>
      <w:r>
        <w:t>Nach den Angaben der Beschwerdegegnerin in der Stellungnahme vom 24. Oktober 2013 (act. 26; Ehefrau act. 15, Seite 10 f.) entsprachen HUF 300'000.- zum damaligen Zeitpunkt rund EUR 1'018.-. Aktuell würden sich die vorerwähnten Einnahmen auf rund EUR 1'070.- summieren (berechnet am 3. Mai 2016). Den in Ungarn wohnhaften Beschwerdeführenden standen demnach mit Beginn der Verrechnung im November 2013 jährlich insgesamt mehr als EUR 12'000.- zur Deckung ihres Lebensbedarfs zur Verfügung. Aus der UBS-Studie "Preise und Löhne 2015" ergeben sich für (...) Budapest (unter anderem) folgende jährliche Bruttoeinkommen: Arbeiterin Industrie EUR 5'064.-; Bauhandlanger EUR 4'769.- (Seite 39); Automechaniker EUR 6'793.-; Krankenpfleger EUR 7'092.- (Seite 40); Verkäuferin EUR 5'858.-; Volksschullehrer EUR 8'457 (Seite 41; die Studie ist abrufbar unter https://www.ubs. com/microsites/prices-earnings/prices-earnings.html; zuletzt besucht am 3. Mai 2016). Das Einkommen von mehr als EUR 12'000.- entspricht somit ungefähr dem Bruttoverdienst eines Ehepaars in Budapest, das als Bauhandlager und Krankenpflegerin ein doppeltes Erwerbseinkommen erzielt. Die jährlichen Einnahmen des inzwischen verwitweten A._______ belaufen sich aktuell - ausgehend von den vorerwähnten Einkommen - auf rund EUR 6'760.-, was ungefähr dem statistischen Bruttolohn eines Automechanikers entspricht. Folglich ist jedenfalls nicht davon auszugehen, dass durch die Verrechnung in das Existenzminimum der Beschwerdeführenden eingegriffen wurde. Der statistische Minimalbedarf eines Rentners bzw. eines Rentnerehepaars, der gemäss dem Zentralamt für Statistik in Budapest 2012 lediglich HUF 77'364.- (aktuell rund EUR 248.-) bzw. HUF 133'238.- (aktuell rund EUR 427.-) pro Monat betrug (vgl. BVGer act. 6, Beilage), deutet im Gegenteil vielmehr darauf hin, dass unter Umständen sogar noch eine weitergehende Verrechnung möglich gewesen wäre. Die Beschwerdegegnerin hat in der Beschwerdeantwort vom 27. Januar 2014 denn auch dargelegt, dass sie den Beschwerdeführenden einen (grosszügigen) kalkulatorischen "Puffer" gewährt hat, damit deren Existenzbedarf gesichert bleibt (BVGer act. 6). Das verbleibende Einkommen von rund EUR 1'020.- lag demnach beträchtliche 225 % über dem statistischen Minimalbedarf eines ungarischen Rentnerehepaars im Zweipersonenhaushalt.</w:t>
      </w:r>
    </w:p>
    <w:p>
      <w:r>
        <w:rPr>
          <w:b/>
        </w:rPr>
        <w:t>E. 4.3</w:t>
      </w:r>
    </w:p>
    <w:p>
      <w:r>
        <w:t>Der vom Rechtsvertreter vorgetragene Einwand, wonach der Bedarf der Beschwerdeführenden für die wichtigsten Positionen schätzungsweise HUF 475'000.- betrage, ist nicht durch entsprechende Unterlagen untermauert. Der Rechtsvertreter räumte zugleich ein, dass die Beschwerdeführenden das Existenzminimum (angeblich) kaum angeben könnten und ein präziser Beleg der Auslagen (angeblich) nicht möglich sei (BVGer act. 1). Der nicht substaniierte Einwand kann daher nicht weiter verfolgt werden. Wenn der Rechtsvertreter weiter behauptet, insgesamt würde das ungekürzte Renteneinkommen nicht über dem Existenzbedarf liegen, so widerspricht dies den vorstehend wiedergegebenen, statistischen Daten. Die vorgebrachten Rügen sind insgesamt nicht stichhaltig und erschöpfen sich in appellatorischer Kritik. Es fällt auf, dass die Beschwerdeführenden im Beschwerdeverfahren keine detaillierten Angaben zu ihrer finanziellen Situation machten und insbesondere auch keine Belege einreichten, ohne hierfür nachvollziehbare Gründe zu nennen. Nachdem das Formular zum Gesuch um unentgeltliche Rechtspflege nicht ausgefüllt und mit den erforderlichen Beweismitteln versehen retourniert worden war (BVGer act. 2), obschon die hierfür eingeräumte Frist mit Verfügung vom 29. Januar 2014, Zwischenverfügung vom 6. März 2014 und Verfügung vom 4. April 2014 mehrmals verlängert worden war (BVGer act. 7, 10, 15), wies der Instruktionsrichter mit (rechtskräftiger) Zwischenverfügung vom 12. Februar 2016 das Gesuch um unentgeltliche Rechtsverbeiständung ab (BVGer act. 26). Die finanzielle Situation der Beschwerdeführenden liegt mithin im Dunkeln. Von weiteren Nachforschungen, wie sie von den Beschwerdeführenden eventualiter beantragt werden, sind unter diesen Vorzeichen keine neuen Erkenntnisse zu erwarten. Daher ist in antizipierter Beweiswürdigung auf die Abnahme zusätzlicher Beweise zu verzichten (vgl. Ueli Kieser, Das Verwaltungsverfahren in der Sozialversicherung, Zürich 1999, S. 212 Rz. 450: Alfred Kölz / Isabelle Häner, Verwaltungsverfahren und Verwaltungsrechtspflege des Bundes, 2. Aufl., Zürich 1998, Rz. 111 und 320; Gygi, a.a.O., S. 274; vgl. auch BGE 122 II 464 E. 4a, BGE 122 III 219 E. 3c, BGE 120 1b 224E. 2b, BGE 119 V 335 E. 3c mit Hinweisen).</w:t>
      </w:r>
    </w:p>
    <w:p>
      <w:r>
        <w:rPr>
          <w:b/>
        </w:rPr>
        <w:t>E. 4.4</w:t>
      </w:r>
    </w:p>
    <w:p>
      <w:r>
        <w:t>Vorliegend haben Beschwerdegegnerin und Vorinstanz den finanziellen Bedarf der Beschwerdeführenden aufgrund von offiziellen statistischen Daten und ohne deren unmittelbare Mitwirkung festgelegt. Ein Mahn- und Bedenkzeitverfahren im Sinne von Art. 43 Abs. 3 ATSG erübrigte sich daher. Entgegen den Ausführungen des Rechtsvertreters mussten die Beschwerdeführenden vor Erlass der Verfügungen vom 13. August 2013 (act. 17; Ehefrau act. 9) nicht angehört werden (vgl. Art. 42 ATSG; BGE 132 V 368 E. 4; BGE 136 V 113 E. 5.3). Das gewählte Vorgehen ist nicht zu beanstanden und dürfte nach dem Gesagten für die Versicherten keineswegs zu einem nachteiligen Ergebnis geführt haben. Eine - vom Rechtsvertreter gerügte - Verletzung des rechtlichen Gehörs ist nicht auszumachen, zumal sich die Beschwerdeführenden zunächst im Einsprache- und anschliessend im Beschwerdeverfahren zur Verrechnung vernehmen lassen konnten. Abgesehen davon kann das Bundesverwaltungsgericht als Beschwerdeinstanz sowohl den Sachverhalt wie auch die Rechtslage frei überprüfen, weshalb selbst eine allfällige Verletzung des rechtlichen Gehörs als geheilt gelten könnte (BGE 127 V 431 E. 3d/aa; BGE 126 V 130 E. 2b mit Hinweisen; BGE 132 V 387 E. 5.1).</w:t>
      </w:r>
    </w:p>
    <w:p>
      <w:r>
        <w:rPr>
          <w:b/>
        </w:rPr>
        <w:t>E. 5</w:t>
      </w:r>
    </w:p>
    <w:p>
      <w:r>
        <w:t>Zusammenfassend ist somit festzuhalten, dass Beschwerdegegnerin und Vorinstanz nicht in das betreibungsrechtliche Existenzminimum der Beschwerdeführenden eingriffen haben, indem sie einen Verrechnungsabzug von je Fr. 400.- verfügt haben. Das nach dem teilweisen Einbehalt der Altersrenten verbleibende Einkommen von mehr als EUR 12'000.- entspricht ungefähr dem Bruttoverdienst eines Ehepaars in Budapest, das als Bauhandlager und Krankenpflegerin ein doppeltes Erwerbseinkommen erzielt. Die jährlichen Einnahmen des inzwischen verwitweten A._______ belaufen sich nach den verfügbaren Angaben aktuell auf rund EUR 6'760.-, was ungefähr dem statistischen Bruttolohn eines Automechanikers entspricht. Die unter der Verfahrensnummer C-6837/2013 vereinigten Beschwerden von A._______ und B._______ erweisen sich als unbegründet, weshalb sie vollumfänglich abzuweisen sind. Die angefochtenen Einspracheentscheide sind zu bestätigen, weshalb die laufende Verrechnung im Ergebnis fortzuführen ist.</w:t>
      </w:r>
    </w:p>
    <w:p>
      <w:r>
        <w:rPr>
          <w:b/>
        </w:rPr>
        <w:t>E. 6</w:t>
      </w:r>
    </w:p>
    <w:p>
      <w:r>
        <w:t>Das Verfahren ist für die Parteien kostenlos (Art. 85bis Abs. 2 AHVG), so dass keine Verfahrenskosten zu erheben sind. Weder die obsiegende Vorinstanz noch die unterliegenden Beschwerdeführenden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