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C-6837/2008 vom 1. September 2010</w:t>
      </w:r>
    </w:p>
    <w:p>
      <w:r>
        <w:t>Bundesverwaltungsgericht, 2010-09-01, FR</w:t>
      </w:r>
    </w:p>
    <w:p>
      <w:r>
        <w:rPr>
          <w:b/>
        </w:rPr>
        <w:t xml:space="preserve">Quelle: </w:t>
      </w:r>
      <w:r>
        <w:t>https://mcp.opencaselaw.ch/entscheid/bvger_C-6837_2008</w:t>
      </w:r>
    </w:p>
    <w:p>
      <w:r>
        <w:t>FR: TAF C-6837/2008 du 1 septembre 2010</w:t>
      </w:r>
    </w:p>
    <w:p>
      <w:r>
        <w:t>IT: TAF C-6837/2008 del 1 settembre 2010</w:t>
      </w:r>
    </w:p>
    <w:p>
      <w:pPr>
        <w:pStyle w:val="Heading2"/>
      </w:pPr>
      <w:r>
        <w:t>Regeste</w:t>
      </w:r>
    </w:p>
    <w:p>
      <w:r>
        <w:t>Assurance-invalidité (AI)</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donc recevable quant à sa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Il sied à ce propos de signaler que depuis le 1er mai 2010, les règlements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de l'Office fédéral des assurances sociales [OFAS]).</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3.5</w:t>
      </w:r>
    </w:p>
    <w:p>
      <w:r>
        <w:t>Le droit applicable au fond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arrêt du Tribunal fédéral I 274/05 du 21 mars 2006 consid. 1.1). La décision entreprise ayant été rendue le 17 septembre 2008, le droit éventuel à des prestations de l'assurance-invalidité doit être examiné en fonction des dispositions de la LAI et de la LPGA, telles que modifiées par la novelle du 6 octobre 2006 (5e révision), entrées en vigueur le 1er janvier 2008 (RO 2007 5129). Cela étant, la 5e révision n'a pas modifié la notion d'invalidité, ni la manière d'évaluer le taux d'invalidité.</w:t>
      </w:r>
    </w:p>
    <w:p>
      <w:r>
        <w:rPr>
          <w:b/>
        </w:rPr>
        <w:t>E. 4.1</w:t>
      </w:r>
    </w:p>
    <w:p>
      <w:r>
        <w:t>Aux termes de l'art. 87 al. 3 et 4 RAI, lorsque l'administration examine une nouvelle demande de l'assuré après un premier refus de prestations, elle n'entrera en matière que s'il est établi de façon plausible que l'invalidité s'est modifiée de manière à influencer ses droits. A défaut d'apporter cette preuve préalable au nouvel examen du droit aux prestations, l'affaire est liquidée sans autre examen par une décision de non-entrée en matière sujette à recours devant le tribunal compétent. On entend ainsi éviter que l'administration ne doive s'occuper continuellement des mêmes cas, soit des cas où la situation n'a pas subi de modification (ATF 125 V 410 consid. 2b, VSI 2000 242).</w:t>
      </w:r>
    </w:p>
    <w:p>
      <w:r>
        <w:rPr>
          <w:b/>
        </w:rPr>
        <w:t>E. 4.2</w:t>
      </w:r>
    </w:p>
    <w:p>
      <w:r>
        <w:t>Dans l'examen des allégations de l'assuré quant à la péjoration de son état de santé, l'administration peut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doit comparer la situation existante au moment du rejet de la demande de prestations avec les circonstances existantes au moment de la décision de refus d'entrer en matière sur la nouvelle demande (Arrêt du Tribunal fédéral I 187/05 du 11 mai 2006, voir ég. ATF 130 V 343 consid. 3.5).</w:t>
      </w:r>
    </w:p>
    <w:p>
      <w:r>
        <w:rPr>
          <w:b/>
        </w:rPr>
        <w:t>E. 4.3</w:t>
      </w:r>
    </w:p>
    <w:p>
      <w:r>
        <w:t>Dans le cas contraire, lorsque l'administration entre en matière sur la nouvelle demande et examine l'affaire au fond; elle vérifie ainsi que la modification du degré d'invalidité rendue, à son sens, plausible par l'assuré est réellement intervenue. Elle doit par conséquent procéder de la même manière qu'en cas de révision au sens de l'art. 17 LPGA.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Le point de savoir si un tel changement s'est produit doit être tranché en comparant les faits tels qu'ils se présentaient au moment de la décision initiale et les circonstances régnant à l'époque de la décision litigieuse (ATF 125 V 368 consid. 2 et les références citées). Il convient de préciser à cet égard que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(ATF 133 V 108 consid. 5, en particulier consid. 5.4, ATF 130 V 71 consid. 3.2.3, ATF 130 V 343 consid. 3.5). En cas de recours, le même devoir de contrôle quant au fond incombe au juge. En effet,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arrêt du Tribunal fédéral I 597/05 du 8 janvier 2007)</w:t>
      </w:r>
    </w:p>
    <w:p>
      <w:r>
        <w:rPr>
          <w:b/>
        </w:rPr>
        <w:t>E. 5.1</w:t>
      </w:r>
    </w:p>
    <w:p>
      <w:r>
        <w:t>Le cas d'espèce a ceci de particulier que la demande a été déposée le 9 juin 2006 auprès des autorités compétentes portugaises, alors que la décision statuant sur la première demande (15 mars 2006) faisait l'objet d'un recours devant la Commission fédérale (recours du 6 avril 2006). La date du 9 juin 2006 est en principe déterminante conformément à l'art. 86 in fine du Règlement (CEE) n° 1408/71 qui prescrit que la date à laquelle les demandes, les déclarations et recours ont été introduits auprès d'une autorité ou d'une juridiction du second Etat est considérée comme la date de l'introduction auprès de l'autorité, de l'institution ou de la juridiction compétente pour en connaître. Or, l'autorité inférieure n'a eu connaissance de cette nouvelle demande de prestations AI qu'en janvier 2008, soit quatre mois après l'arrêt du TAF rejetant le recours de l'assuré contre la première décision lui refusant une rente. S'agissant d'une nouvelle demande, l'autorité inférieure aurait dû statuer en application de l'art. 87 al. 4 RAI.</w:t>
      </w:r>
    </w:p>
    <w:p>
      <w:r>
        <w:rPr>
          <w:b/>
        </w:rPr>
        <w:t>E. 5.2</w:t>
      </w:r>
    </w:p>
    <w:p>
      <w:r>
        <w:t>Dans la mesure où l'autorité inférieure a soumis la nouvelle demande à son service médical et a considéré que les conditions de l'octroi de prestations AI n'étaient pas non plus réalisées après la date de la décision du 18 mai 2005, elle est implicitement entrée en matière sur la nouvelle demande du recourant (cf. arrêt du Tribunal fédéral I 771/05 du 12 juin 2006 consid 1) qu'elle a d'ailleurs rejetée, si bien que la Cour de céans - en application de la jurisprudence précitée - ne peut plus examiner si elle était fondée à le faire ou non.</w:t>
      </w:r>
    </w:p>
    <w:p>
      <w:r>
        <w:rPr>
          <w:b/>
        </w:rPr>
        <w:t>E. 5.3</w:t>
      </w:r>
    </w:p>
    <w:p>
      <w:r>
        <w:t>En conséquence, le Tribunal de céans doit examiner en l'espèce si l'invalidité du recourant a subi une modification, et ce, en comparant les faits tels qu'ils se présentaient à l'époque de la décision du 15 mars 2006, dernière décision entrée en force ayant examiné matériellement le droit à la rente, et ceux qui ont existé jusqu'au 17 septembre 2008, date de la décision litigieuse.</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L'al. 2 a été introduit lors de la 5e révision. Cette disposition précise que seules les conséquences de l'atteinte à la santé sont prises en compte pour juger de la présence d'une incapacité de gain et qu'il n'y a incapacité de gain que si celle-ci n'est pas objectivement surmontable.</w:t>
      </w:r>
    </w:p>
    <w:p>
      <w:r>
        <w:rPr>
          <w:b/>
        </w:rPr>
        <w:t>E. 6.2</w:t>
      </w:r>
    </w:p>
    <w:p>
      <w:r>
        <w:t>L'assuré a droit à un quart de rente s'il est invalide à 40% au moins, à une demi-rente s'il est invalide à 50%, à trois-quarts de rente s'il est invalide à 60% et à une rente entière s'il est invalide à 70% au moins (art. 28 al. 1 LAI, al. 2 depuis le 1er janvier 2008). Jusqu'au 31 décembre 2003, le droit à la rente entière était donné avec un taux d'invalidité de 66,67%, la demi-rente avec un taux d'invalidité de 50% au moins et le quart de rente avec un taux de 40%.</w:t>
      </w:r>
    </w:p>
    <w:p>
      <w:r>
        <w:rPr>
          <w:b/>
        </w:rPr>
        <w:t>E. 7.1</w:t>
      </w:r>
    </w:p>
    <w:p>
      <w:r>
        <w:t>Le taux d'invalidité d'une personne exerçant une activité lucrative est fixé d'après la comparaison des revenus prévue à l'art. 16 LPGA, applicable par le renvoi de l'art. 28a al. 1 LAI, à savoir selon des considérations économiques. Ainsi le revenu que l'assuré aurait pu obtenir s'il n'était pas invalide est comparé avec celui qu'il pourrait obtenir en exerçant l'activité qui peut être raisonnablement exigée de lui après les traitements et les mesures de réadaptation, sur un marché du travail équilibré (méthode générale). Le Tribunal fédéral a précisé qu'il n'y pas lieu de poser des exigences excessives quant aux possibilités des assurés de trouver un emploi correspondant aux activités de substitution proposées. Il suffit en principe qu'une telle place de travail n'apparaisse pas de toute évidence comme exclue (arrêts du Tribunal fédéral 9C_446/2008 du 18 septembre 2008 et 9C_236/2008 du 4 août 2008).</w:t>
      </w:r>
    </w:p>
    <w:p>
      <w:r>
        <w:rPr>
          <w:b/>
        </w:rPr>
        <w:t>E. 7.2</w:t>
      </w:r>
    </w:p>
    <w:p>
      <w:r>
        <w:t>La notion d'invalidité, dont il est question à l'art. 8 LPGA et à l'art. 4 LAI, est de nature juridique/économique et non pas médicale (ATF 116 V 246 consid. 1b). Ainsi, puisque l'objet assuré n'est pas l'atteinte à la santé physique, mais les conséquences économiques de celles-ci - à savoir une incapacité de gain de longue durée - le taux d'invalidité ne se confond pas nécessairement avec le taux d'incapacité fonctionnelle déterminer par le médecin (ATF 110 V 273 consid. 4). Le Tribunal fédéral a néanmoins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RCC 1991 p. 329 consid. 1c).</w:t>
      </w:r>
    </w:p>
    <w:p>
      <w:r>
        <w:rPr>
          <w:b/>
        </w:rPr>
        <w:t>E. 8.1</w:t>
      </w:r>
    </w:p>
    <w:p>
      <w:r>
        <w:t>L'autorité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L'art. 69 RAI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En particulier, une expertise doit être mise en oeuvre lorsqu'il apparaît nécessaire de clarifier les aspects médicaux du cas (ATF 117 V 282 consid. 4a).</w:t>
      </w:r>
    </w:p>
    <w:p>
      <w:r>
        <w:rPr>
          <w:b/>
        </w:rPr>
        <w:t>E. 8.2</w:t>
      </w:r>
    </w:p>
    <w:p>
      <w:r>
        <w:t>Toutefois,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19 PA en relation avec art. 40 de la loi fédérale de procédure civile fédérale du 4 décembre 1947 PCF, [RS 273]; ATF 117 V 261, ATF 116 V 23, ATF 115 V 133 consid. 8a et les références citées).</w:t>
      </w:r>
    </w:p>
    <w:p>
      <w:r>
        <w:rPr>
          <w:b/>
        </w:rPr>
        <w:t>E. 8.3</w:t>
      </w:r>
    </w:p>
    <w:p>
      <w:r>
        <w:t>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 Une telle manière de procéder ne viole pas le droit d'être entendu selon l'art. 29 al. 2 Cst (Sozialversicherungsrecht [SVR] 2001 IV n° 10 p. 28).</w:t>
      </w:r>
    </w:p>
    <w:p>
      <w:r>
        <w:rPr>
          <w:b/>
        </w:rPr>
        <w:t>E. 9.1</w:t>
      </w:r>
    </w:p>
    <w:p>
      <w:r>
        <w:t>La Cour de céans avait déjà estimé lorsqu'elle fut saisie de la première décision sur opposition du 15 mars 2006, que les faits étaient suffisamment établis et laissait apparaître un tableau clinique clair avec, d'une part, un état dépressif présent de longue date combiné avec un alcoolisme sevré depuis 1999 et, d'autre part, une maladie de Dupuytren bilatérale importante, opérée à gauche en 2001, mais présentant une récidive. Une sanction chirurgicale était alors prévue à droite et une amputation de l'auriculaire gauche était évoquée.</w:t>
      </w:r>
    </w:p>
    <w:p>
      <w:r>
        <w:rPr>
          <w:b/>
        </w:rPr>
        <w:t>E. 9.2</w:t>
      </w:r>
    </w:p>
    <w:p>
      <w:r>
        <w:t>Le recourant entreprend la nouvelle décision du 17 septembre 2008 sans produire aucune pièce médicale qui serait susceptible de prouver qu'il subirait une péjoration telle de sa santé que le taux d'invalidité en serait notablement modifié. Les documents fournis font tous état d'un diagnostic qui était déjà connu lors de la première décision. En particulier, rien ne vient démontrer qu'il aurait dû se soumettre à une nouvelle intervention chirurgicale pour soigner son Dupuytren à droite ou amputer un doigt à gauche. La principale divergence tient non pas à l'appréciation médicale du cas mais à celle de sa capacité résiduelle de travail. Or, cette question a déjà été tranchée dans l'arrêt du 11 septembre 2007. Si le recourant n'était pas d'accord, il lui revenait d'attaquer ce jugement selon les voies de droit indiquées après le dispositif. Du moment que son état de santé ne s'est pas aggravé, il n'y a pas lieu d'y revenir. Toutefois, il est peut-être utile de rappeler que seul le droit interne détermine les modalités de l'évaluation de l'invalidité (cf. supra consid. 3.2 et 3.4) qui est, selon la loi suisse, une notion juridico-économique (cf. supra consid. 7.2). La législation portugaise possède ses propres notions. Par ailleurs, on observe que les décisions suisse et portugaise ne sont pas fondamentalement contradictoires. En effet, dans le chapitre "apreciaçao final" du document du 12 février 2007 de la sécurité sociale portugaise destiné à vérifier l'incapacité permanente de l'assuré, la case correspondant à "l'incapacidade permanente para o exercice da sua profissão" est cochée et non celle indiquant une "incapacidade permamente para toda qualquer profissão" (pce 101). Les deux décisions reconnaissent donc une incapacité de travail dans l'ancienne profession, toutefois, en droit suisse ce constat n'est pas suffisant pour ouvrir le droit à une rente. De même, le courrier de la sécurité sociale portugaise datée du 19 septembre 2007 - produit par l'assuré en procédure de recours - fait référence à une pension d'invalidité relative ("invalidez relativa"). Or, l'invalidité relative correspond à l'incapacité permanente d'une personne ne pouvant obtenir plus d'un tiers de son salaire, en opposition à l'invalidité absolue, reconnue en cas de perte définitive et permanente de la capacité de travail dans une quelconque profession (cf. artigo 14 e 15 do Decreto-Lei n.º 187/2007 de 10 de Maio, consulté le 29 juillet 2010 sur le site Internet http://www.igf.min- financas.pt/inflegal/bd_igf/bd_legis_geral/Leg_geral_docs/DL_187_2007.htm).</w:t>
      </w:r>
    </w:p>
    <w:p>
      <w:r>
        <w:rPr>
          <w:b/>
        </w:rPr>
        <w:t>E. 10.1</w:t>
      </w:r>
    </w:p>
    <w:p>
      <w:r>
        <w:t>Il s'en suit que la Cour de céans ne voit aucun motif de s'écarter de la décision du 17 septembre 2008, laquelle doit être confirmée et le recours rejeté.</w:t>
      </w:r>
    </w:p>
    <w:p>
      <w:r>
        <w:rPr>
          <w:b/>
        </w:rPr>
        <w:t>E. 10.2</w:t>
      </w:r>
    </w:p>
    <w:p>
      <w:r>
        <w:t>La décision litigieuse a été rendue après le 1er juillet 2006, entrée en vigueur de l'art. 69 al. 2 LAI soumettant la procédure de recours en matière de contestations portant sur l'octroi ou le refus de prestations de l'AI devant le Tribunal administratif fédéral à des frais de procédure.</w:t>
      </w:r>
    </w:p>
    <w:p>
      <w:r>
        <w:rPr>
          <w:b/>
        </w:rPr>
        <w:t>E. 10.3</w:t>
      </w:r>
    </w:p>
    <w:p>
      <w:r>
        <w:t>Le recourant, qui succombe, doit donc s'acquitter des frais de justice fixés, compte tenu de la charge liée à la procédure, à Fr. 400.-- (art. 63 al. 1 règlement du 21 février 2008 concernant les frais, dépens et indemnités fixés par le Tribunal administratif fédéral [FITAF, RS 173.320.2] et 69 al. 2 LAI). Ils sont compensés par l'avance de frais déjà versée de Fr. 400.--.</w:t>
      </w:r>
    </w:p>
    <w:p>
      <w:r>
        <w:rPr>
          <w:b/>
        </w:rPr>
        <w:t>E. 10.4</w:t>
      </w:r>
    </w:p>
    <w:p>
      <w:r>
        <w:t>Il n'est pas alloué de dépens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