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C-6836/2008 vom 30. März 2011</w:t>
      </w:r>
    </w:p>
    <w:p>
      <w:r>
        <w:t>Bundesverwaltungsgericht, 2011-03-30, DE</w:t>
      </w:r>
    </w:p>
    <w:p>
      <w:r>
        <w:rPr>
          <w:b/>
        </w:rPr>
        <w:t xml:space="preserve">Quelle: </w:t>
      </w:r>
      <w:r>
        <w:t>https://mcp.opencaselaw.ch/entscheid/bvger_C-6836_2008</w:t>
      </w:r>
    </w:p>
    <w:p>
      <w:r>
        <w:t>FR: TAF C-6836/2008 du 30 mars 2011</w:t>
      </w:r>
    </w:p>
    <w:p>
      <w:r>
        <w:t>IT: TAF C-6836/2008 del 30 marzo 2011</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erhobene Beschwerde (vgl. Art. 60 Abs. 1 ATSG und Art. 52 Abs. 1 VwVG) ist, nachdem auch der Kostenvorschuss rechtzeitig geleistet wurde, einzutreten.</w:t>
      </w:r>
    </w:p>
    <w:p>
      <w:r>
        <w:rPr>
          <w:b/>
        </w:rPr>
        <w:t>E. 3</w:t>
      </w:r>
    </w:p>
    <w:p>
      <w:r>
        <w:t>Streitig ist der Anspruch auf eine Invalidenrente. Zunächst sind die für die Beurteilung des Anspruchs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22. September 2008)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w:t>
      </w:r>
    </w:p>
    <w:p>
      <w:r>
        <w:rPr>
          <w:b/>
        </w:rPr>
        <w:t>E. 3.2</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sind die mit Kroatien, Slowenien und Mazedonien neu abgeschlossenen Abkommen über Soziale Sicherheit in Kraft getreten; ein mit Serbien vereinbartes Abkommen ist noch nicht ratifiziert. Mit dem Kosovo wird das Abkommen Jugoslawien seit dem 1. April 2010 nicht mehr weitergeführt. Für Staatsangehörige des Kosovo, als kosovarisch-serbische Doppelbürger, ist jedoch das Abkommen Jugoslawien weiterhin anwendbar (vgl. Grundsatzurteil BVGer C-4828/2010 vom 7. März 2011 E. 5). Nach Art. 2 des Abkommens Jugoslawien stehen die Staatsangehörigen der Vertragsstaaten in ihren Rechten und Pflichten aus den in Art. 1 genannten Rechtsvorschriften, zu welchen die schweizerische Bundesgesetzgebung über die IV gehört, einander gleich, soweit nichts anderes bestimmt ist. Vorliegend kommen keine abweichenden staatsvertraglichen Bestimmungen zur Anwendung. Die Frage ob, und gegebenenfalls ab wann Anspruch auf Leistungen der IV besteht, bestimmt sich daher aufgrund der schweizerischen Rechtsvorschriften (vgl. auch BGE 130 V 253 E. 2.4; AHI-Praxis 1996 S. 177 E. 1).</w:t>
      </w:r>
    </w:p>
    <w:p>
      <w:r>
        <w:rPr>
          <w:b/>
        </w:rPr>
        <w:t>E. 3.3</w:t>
      </w:r>
    </w:p>
    <w:p>
      <w:r>
        <w:t>Am 1. Januar 2008 sind im Rahmen der 5. IV-Revision Ände­rungen des IVG und anderer Erlasse wie des ATSG in Kraft getreten. Gemäss den intertemporalrechtlichen Grundsätzen (vgl. E. 3.1) ist der Leistungsanspruch für die Zeit bis zum 31. Dezember 2007 aufgrund der bisherigen und ab diesem Zeitpunkt nach den neuen Normen zu prüfen.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22. September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Die Annahme eines psychischen Gesundheitsschadens setzt zunächst eine fachärztlich (psychiatrisch) gestellte Diagnose nach einem wissenschaftlich anerkannten Klassifikationssystem voraus. Nach der Rechtsprechung vermögen indes Störungen, die zu den sogenannten pathogenetisch-ätiologisch unklaren syndromalen Beschwerdebildern ohne nachweisbare organische Grundlage (namentlich somatoforme Schmerzstörungen, Fibromyalgie, Neurasthenie und Chronic Fatigue Syndrom) gehören, nur ausnahmsweise eine Invalidität zu begründen. Vielmehr besteht eine Vermutung, dass solche Störungen oder ihre Folgen mit einer zumutbaren Willensanstrengung überwindbar sind (BGE 131 V 49 E. 1.2, BGE 130 V 352, Urteil BGer I 70/07 vom 14. April 2008 E. 5, BGE 132 V 65).</w:t>
      </w:r>
    </w:p>
    <w:p>
      <w:r>
        <w:rPr>
          <w:b/>
        </w:rPr>
        <w:t>E. 3.6</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3.7</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vgl. auch Art. 8 Bst. e des Abkommens Jugoslawien).</w:t>
      </w:r>
    </w:p>
    <w:p>
      <w:r>
        <w:rPr>
          <w:b/>
        </w:rPr>
        <w:t>E. 3.8</w:t>
      </w:r>
    </w:p>
    <w:p>
      <w:r>
        <w:t>Ob eine versicherte Person als ganztägig oder zeitweilig erwerbstätig oder als nicht erwerbstätig einzustufen ist - was je zur Anwendung einer anderen Methode der Invaliditätsbemessung (Einkommensvergleich, Betätigungsvergleich, gemischte Methode)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3.9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3.10</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4</w:t>
      </w:r>
    </w:p>
    <w:p>
      <w:r>
        <w:t>Zunächst ist zu beurteilen, ob und gegebenenfalls in welchem Umfang der Beschwerdeführer aufgrund eines Gesundheitsschadens in seiner Arbeitsfähigkeit beeinträchtigt ist.</w:t>
      </w:r>
    </w:p>
    <w:p>
      <w:r>
        <w:rPr>
          <w:b/>
        </w:rPr>
        <w:t>E. 4.1</w:t>
      </w:r>
    </w:p>
    <w:p>
      <w:r>
        <w:t>Den medizinischen Akten lässt sich Folgendes entnehmen:</w:t>
      </w:r>
    </w:p>
    <w:p>
      <w:r>
        <w:rPr>
          <w:b/>
        </w:rPr>
        <w:t>E. 4.1.1</w:t>
      </w:r>
    </w:p>
    <w:p>
      <w:r>
        <w:t>Die behandelnden Ärzte in Kosovo diagnostizierten eine posttraumatische Belastungsstörung, eine depressive Entwicklung (mit somatischen Symptomen), arterielle Hypertonie, chronische Bronchitis, Discopatie L5/S1 (Berichte von Dr. D._______, Hausarzt, vom 28. Juni 2006 [IV-Akt. 14], von Dr. E._______, Psychiater, vom 15. Juni 2006 [IV-Akt. 12] und von Dr. F._______, Psychiater und Hausarzt, vom 21. August 2007 [IV-Akt. 15]). Der Patient leide unter den schlimmen Erfahrungen während des Krieges im Jahr 1999. Die seither bestehenden psychischen Probleme würden begleitet von somatischen Beschwerden, insbesondere Kopfschmerzen, Schwindel und Beklemmungsgefühl. Die Arbeitsunfähigkeit wird von mindestens 70 % bis mind. 80 % beziffert.</w:t>
      </w:r>
    </w:p>
    <w:p>
      <w:r>
        <w:rPr>
          <w:b/>
        </w:rPr>
        <w:t>E. 4.1.2</w:t>
      </w:r>
    </w:p>
    <w:p>
      <w:r>
        <w:t>In ihrem ersten Bericht vom 8. Januar 2008 hielt die RAD-Ärztin Dr. B._______ fest, die von Dr. E._______ und Dr. F._______ beschriebene Symptomatik sei ähnlich wie in den meisten Berichten dieser beiden Ärzte. Deshalb sei das Einholen einer neutralen Expertise erforderlich (IV-Akt. 17).</w:t>
      </w:r>
    </w:p>
    <w:p>
      <w:r>
        <w:rPr>
          <w:b/>
        </w:rPr>
        <w:t>E. 4.1.3</w:t>
      </w:r>
    </w:p>
    <w:p>
      <w:r>
        <w:t>Das auf Empfehlung der RAD-Ärztin eingeholte Gutachten von Dr. C._______, Facharzt für Neurologie und Psychiatrie, vom 24. April 2008 (IV-Akt. 20), beruht auf einer neurologischen und psychiatrischen Untersuchung. In somatischer Hinsicht wurden - ausser "Lasegue positiv" - kaum objektivierbare Befunde erhoben. Der psychiatrische Status ergab eine depressive Grundstimmung ohne Beeinträchtigungen des Denkens und der Wahrnehmung, jedoch eine verminderte Konzentrationsfähigkeit und Motivation. Suizidale Tendenzen hätten nicht festgestellt werden können. Diagnostiziert wurde ein Status post Polytrauma, eine somatoforme Störung, eine chronische Lumbalgie/Diskopatie L5/S1, Hypertonie und chronische Bronchitis. Aus psychiatrischer Sicht bestehe eine Arbeitsunfähigkeit von 50 - 60 %.</w:t>
      </w:r>
    </w:p>
    <w:p>
      <w:r>
        <w:rPr>
          <w:b/>
        </w:rPr>
        <w:t>E. 4.1.4</w:t>
      </w:r>
    </w:p>
    <w:p>
      <w:r>
        <w:t>In ihrer Stellungnahme vom 21. Juni 2008 führte die RAD-Ärztin Dr. B._______ unter Diagnosen ohne Auswirkungen auf die Arbeitsfähigkeit folgende auf: "TSDP F45.4" (ohne Angabe, was unter TSDP zu verstehen ist; ICD-10 F45.4 entspricht einer anhaltenden somatoformen Schmerzstörung bzw. einem Syndrome douloureux somatoforme persistant), "St. post Polytrauma", "Lumbago chr./Discopathie L5/S1", "HTA", "Bronchite chronique obstructive". In der Beurteilung führt sie aus, gemäss der Expertise von Dr. C._______ stehe die "TSDP" im Vordergrund. Obwohl der Experte keine Suizidalität festgestellt habe und der beschriebene Status keiner schweren psychischen Störung entspreche, attestiere er eine Arbeitsunfähigkeit von 50 - 60 %. Die diagnostizierten (somatischen und psychischen) Störungen führten nicht zu einer langfristigen Beeinträchtigung der Arbeitsfähigkeit bzw. zu einer Invalidität (IV-Akt. 20).</w:t>
      </w:r>
    </w:p>
    <w:p>
      <w:r>
        <w:rPr>
          <w:b/>
        </w:rPr>
        <w:t>E. 4.2</w:t>
      </w:r>
    </w:p>
    <w:p>
      <w:r>
        <w:t>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w:t>
      </w:r>
    </w:p>
    <w:p>
      <w:r>
        <w:rPr>
          <w:b/>
        </w:rPr>
        <w:t>E. 4.2.1</w:t>
      </w:r>
    </w:p>
    <w:p>
      <w:r>
        <w:t>Im Beschwerdeverfahren kann auf die Stellungnahmen des RAD abgestellt werden, wenn diese den allgemeinen beweisrechtlichen Anforderungen an einen ärztlichen Bericht genügen. Für RAD-Berichte von besonderer Bedeutung ist, dass diese in Kenntnis der Vorakten abgegeben wurden, in der Beschreibung der medizinischen Situation und Zusammenhänge einleuchten sowie begründete Schlussfolgerungen enthalten. Zudem müssen die Ärztinnen und Ärzte des RAD über die im Einzelfall gefragten persönlichen und fachlichen Qualifikationen verfügen (Urteil BGer 9C_323/2009 vom 14. Juli 2009 E. 4.3.1 mit Hinweis auf BGE 125 V 351 E. 3a, Urteil BGer 9C_904/2009 vom 7. Juni 2010 E. 2.2).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4.2.2</w:t>
      </w:r>
    </w:p>
    <w:p>
      <w:r>
        <w:t>Vorliegend hat sich Dr. B._______ weder zur (mangelnden) Beweiskraft des Gutachtens von Dr. C._______ geäussert, noch hat sie ihre vom Gutachter abweichende Beurteilung der Arbeitsfähigkeit (nachvollziehbar) begründet. Aus dem Gutachten von Dr. C._______ geht beispielsweise nicht hervor, ob und gegebenenfalls welche medizinischen Vorakten dem Experten zur Verfügung gestanden haben. Ob der Bericht auf allseitigen (und lege artis durchgeführten) Untersuchungen beruht, lässt sich kaum feststellen, erscheint aber zumindest beim neurologischen Status zweifelhaft. Ungenügend ist das Gutachten aber insbesondere deshalb, weil weder die (nicht nach einem anerkannten Klassifikationssystem gestellten) Diagnosen noch die Beurteilung der Arbeitsfähigkeit nachvollziehbar begründet werden. Dieser grundlegende Mangel einer fehlenden bzw. unzureichenden Begründung trifft auch auf den RAD-Bericht zu. Weshalb Dr. B._______ von der Diagnose "Dissordines somatoforms" (wahrscheinlich, vgl. E. 4.1.4) auf eine anhaltende somatoforme Störung gemäss ICD-10 F45.4 geschlossen hat und weshalb diese Diagnose im Vordergrund steht, geht aus ihrer Stellungnahme nicht hervor. Erstaunlich erscheint zudem, dass sich alle Gesundheitsbeeinträchtigungen (einschliesslich Diskopathie und somatoforme Störung) überhaupt nicht auf die Arbeitsfähigkeit - mithin auch nicht bei körperlich schweren Arbeiten - auswirken sollen. Auf die Beeinträchtigung der Konzentrationsfähigkeit und des Antriebes geht die Ärztin nicht ein.</w:t>
      </w:r>
    </w:p>
    <w:p>
      <w:r>
        <w:rPr>
          <w:b/>
        </w:rPr>
        <w:t>E. 4.3</w:t>
      </w:r>
    </w:p>
    <w:p>
      <w:r>
        <w:t>Es fehlt somit an einer beweiskräftigen medizinischen Stellungnahme, insbesondere an einer nachvollziehbaren Darlegung der medizinischen Zusammenhänge und einer einleuchtenden Beurteilung der medizinischen Situation sowie an begründeten Schlussfolgerungen. Es kann deshalb weder auf die Einschätzung von Dr. C._______ noch auf diejenige von Dr. B._______ abgestellt werden.</w:t>
      </w:r>
    </w:p>
    <w:p>
      <w:r>
        <w:rPr>
          <w:b/>
        </w:rPr>
        <w:t>E. 4.4</w:t>
      </w:r>
    </w:p>
    <w:p>
      <w:r>
        <w:t>Zusammenfassend ergibt sich, dass die Arbeits(un)fähigkeit des Beschwerdeführers nicht mit überwiegender Wahrscheinlichkeit festgestellt werden kann und der Sachverhalt in medizinischer Hinsicht ungenügend abgeklärt ist. Die Sache ist daher an die Vorinstanz zurückzuweisen, damit diese - in Zusammenarbeit mit dem RAD - die erforderlichen Abklärungen (insbesondere in psychiatrischer, allenfalls auch in rheumatologischer Hinsicht) vornehme. Zudem wird die Verwaltung zu prüfen haben, ob der Beschwerdeführer - angesichts der widersprüchlichen Aussagen (vgl. insbesondere Fragebogen zur Bestimmung des Status des/der Versicherten [IV-Akt. 8] Ziff. 1 und 4) - im Gesundheitsfall mit überwiegender Wahrscheinlichkeit als Hausmann (vgl. IV-Akt. 16) tätig wäre (vgl. E. 3.8), bevor sie das Leistungsbegehren neu beurteilt. In diesem Sinne ist die Beschwerde gutzuheissen.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Dem obsiegenden Beschwerdeführer wird der geleistete Kostenvorschuss nach Eintritt der Rechtskraft des vorlie­genden Urteils zurückerstattet. Der unterlegenen Vorinstanz werden gemäss Art. 63 Abs. 2 VwVG keine Kosten auferlegt.</w:t>
      </w:r>
    </w:p>
    <w:p>
      <w:r>
        <w:rPr>
          <w:b/>
        </w:rPr>
        <w:t>E. 5.2</w:t>
      </w:r>
    </w:p>
    <w:p>
      <w:r>
        <w:t>Dem nicht anwaltlich vertretenen Beschwerdeführer sind keine verhältnismässig hohen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