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C-6834/2011 vom 29. August 2012</w:t>
      </w:r>
    </w:p>
    <w:p>
      <w:r>
        <w:t>Bundesverwaltungsgericht, 2012-08-29, DE</w:t>
      </w:r>
    </w:p>
    <w:p>
      <w:r>
        <w:rPr>
          <w:b/>
        </w:rPr>
        <w:t xml:space="preserve">Quelle: </w:t>
      </w:r>
      <w:r>
        <w:t>https://mcp.opencaselaw.ch/entscheid/bvger_C-6834_2011</w:t>
      </w:r>
    </w:p>
    <w:p>
      <w:r>
        <w:t>FR: TAF C-6834/2011 du 29 août 2012</w:t>
      </w:r>
    </w:p>
    <w:p>
      <w:r>
        <w:t>IT: TAF C-6834/2011 del 29 agosto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Vorweg rügt der Beschwerdeführer in formeller Hinsicht die Verletzung des rechtlichen Gehörs, indem die angefochtene Verfügung ungenügend begründet worden sei. Gemäss Art. 35 Abs. 1 VwVG sind die Behörden verpflichtet, schriftli­che Verfügungen zu begründen. Die Begründungspflicht ist Teilgehalt des Anspruchs auf rechtliches Gehör im Sinne von Art. 29 Abs. 2 der Bundesverfassung der Schweizerischen Eidgenossenschaft vom 18. April 1999 (BV, SR 101).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BVGE 2007/27 E. 5.5.2 und BGE 133 I 270 E. 3.1 S. 277 je mit Hinweisen, sowie Felix Uhlmann/Alexandra Schwank, in: Waldmann/Weissenberger [Hrsg.], Praxiskommentar VwVG, Zürich 2009, N 17 ff. zu Art. 35; ebenso Lorenz Kneubühler, in: Auer/Müller/Schindler [Hrsg.], Kommentar zum Bundesgesetz über das Verwaltungsverfahren [VwVG], Zürich/St. Gallen 2008, Rz. 4 ff. zu Art. 35 VwVG). 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mit Hinweisen).</w:t>
      </w:r>
    </w:p>
    <w:p>
      <w:r>
        <w:rPr>
          <w:b/>
        </w:rPr>
        <w:t>E. 3.2</w:t>
      </w:r>
    </w:p>
    <w:p>
      <w:r>
        <w:t>Die Begründung der angefochtenen Verfügung ist in der Tat knapp ausgefallen und ziemlich summarisch gehalten. Die Vorinstanz verweist darin in allgemeiner Form auf die illegale Anwesenheit des Beschwerdeführers nach Ablauf des bewilligungsfreien Aufenthaltes, derentwegen sie im Einklang mit Praxis und Rechtsprechung eine Fernhaltemassnahme von zwei Jahren für angezeigt erachtet. Die massgebenden Gründe gehen daraus aber ohne weiteres hervor und erweisen sich im vorliegenden Kontext als ausreichend. Die anwendbare Rechtsgrundlage "Verstoss gegen die öffentliche Sicherheit und Ordnung" wurde sodann explizit aufgeführt. Eine solche Begründung ermöglicht durchaus die sachgerechte Anfechtung der Verfügung (Urteil des Bundesverwaltungsgerichts C-5458/2010 vom 3. November 2011 E. 3.2). Damit erweist sich die erhobene Rüge der Gehörsverletzung als unbegründet.</w:t>
      </w:r>
    </w:p>
    <w:p>
      <w:r>
        <w:rPr>
          <w:b/>
        </w:rPr>
        <w:t>E. 4.1</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4.2</w:t>
      </w:r>
    </w:p>
    <w:p>
      <w:r>
        <w:t>Für die Verhängung eines Einreiseverbots ist kein vorsätzlicher Verstoss gegen ausländerrechtliche Bestimmungen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Urteil des Bundesverwaltungsgerichts C-7263/2008 vom 31. August 2010 E. 4.1 S. 6 mit Hinweis).</w:t>
      </w:r>
    </w:p>
    <w:p>
      <w:r>
        <w:rPr>
          <w:b/>
        </w:rPr>
        <w:t>E. 4.3</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5.1</w:t>
      </w:r>
    </w:p>
    <w:p>
      <w:r>
        <w:t>Ausländische Personen, die in der Schweiz keiner Erwerbstätigkeit nachgehen, bedürfen für einen Aufenthalt von bis zu drei Monaten innerhalb eines Zeitraums von sechs Monaten nach der Einreise keiner Bewilligung, und sie müssen sich nicht anmelden (bewilligungsfreier Aufenthalt; Art. 10 AuG und Art. 9 VZAE). Die Einreisevoraussetzungen nach Art. 5 AuG müssen während des gesamten bewilligungsfreien Aufenthalts erfüllt sein (Art. 9 Abs. 2 VZAE). An die Höchstaufenthaltsdauer von drei Monaten anrechenbar sind dabei Aufenthalte in der Schweiz und im übrigen Schengen-Raum. Das ergibt sich aus dem Vorrang des Schengen-Rechts (Art. 2 Abs. 4 AuG) und der Tatsache, dass sich im Anwendungsbereich des Schengen-Rechts visumspflichtbefreite Drittausländer höchsten drei Monate innerhalb einer Frist von sechs Monaten vom Datum der ersten Einreise an im Hoheitsgebiet der Schengen-Staaten frei bewegen dürfen, und auch das nur, wenn und solange sie die Einreisevoraussetzungen des Art. 5 Abs. 1 SGK erfüllen (Art. 20 Abs. 1 SDÜ).</w:t>
      </w:r>
    </w:p>
    <w:p>
      <w:r>
        <w:rPr>
          <w:b/>
        </w:rPr>
        <w:t>E. 5.2</w:t>
      </w:r>
    </w:p>
    <w:p>
      <w:r>
        <w:t>Der Beschwerdeführer hielt sich unbestrittenermassen vom 11. November 2010 bis zum 23. Oktober 2011 im Schengenraum auf, ohne diesen Aufenthalt in rechtlich relevanter Weise zu unterbrechen und ohne sich anzumelden bzw. ohne die dazu erforderliche Bewilligung einzuholen (Art. 12 AuG bzw. Art. 10 Abs. 2 AuG). Es steht ausser Frage, dass er damit den bewilligungsfrei zulässigen maximalen Aufenthalt um mehr als acht Monate überzogen hat. Wie es sich mit der Rechtmässigkeit seiner Einreise verhält (der Beschwerdeführer behauptet, anlässlich seiner Einreise noch nicht die Absicht gehabt zu haben, sich länger als drei Monate in der Schweiz bzw. im Schengen-Raum aufzuhalten) muss nicht abschliessend beurteilt werden, denn der illegale Aufenthalt bildet unter dem Gesichtspunkt von Art. 67 Abs. 2 Bst. a AuG hinreichenden Anlass für die Verhängung einer Fernhaltemassnahme. Immerhin ist darauf zu verweisen, dass die Einreisevoraussetzungen von Art. 5 Abs. 1 SGK für eine Einreise in das Hoheitsgebiet der Schengen-Staaten während der ganzen Dauer des Aufenthaltes in diesem Raum erfüllt sein müssen (Art. 20 Abs. 1 SDÜ; vgl. auch die bereits erwähnte landesrechtliche Regelung in Art. 9 Abs. 2 VZAE).</w:t>
      </w:r>
    </w:p>
    <w:p>
      <w:r>
        <w:rPr>
          <w:b/>
        </w:rPr>
        <w:t>E. 6.1</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 St. Gallen 2010, Rz. 613 ff.).</w:t>
      </w:r>
    </w:p>
    <w:p>
      <w:r>
        <w:rPr>
          <w:b/>
        </w:rPr>
        <w:t>E. 6.2</w:t>
      </w:r>
    </w:p>
    <w:p>
      <w:r>
        <w:t>Das Fehlverhalten des Beschwerdeführers wiegt objektiv nicht leicht. Es beinhaltet die Missachtung ausländerrechtlicher Normen, welchen im Interesse einer funktionierenden Rechtsordnung zentrale Bedeutung zukommt. Aber auch was die subjektive Seite anbelangt, ist das Verhalten des Beschwerdeführers nicht zu bagatellisieren. So hielt er sich unbestrittenermassen nach Ablauf des bewilligungsfreien Aufenthaltes von drei Monaten noch weitere gut acht Monate in der Schweiz auf. Selbst wenn er - wie von ihm behauptet - davon ausgegangen sein sollte, sich ununterbrochen während der gesamten elf Monaten im Schengen-Raum aufhalten zu dürfen, kann er daraus nichts zu seinen Gunsten ableiten. Das öffentliche Interesse an seiner befristeten Fernhaltung lässt sich mit den von ihm geltend gemachten Umständen (Aufenthalt ausschliesslich bei Familienangehörigen und Freunden, keine sonstige Delinquenz, Ausreise aus eigenem Antrieb, fehlende Wiederholungsgefahr) nicht ernsthaft in Frage stellen. Nach dem bisher Gesagten ist dem öffentlichen Interesse an einer zeitlich befristeten Fernhaltung grosses Gewicht beizumessen.</w:t>
      </w:r>
    </w:p>
    <w:p>
      <w:r>
        <w:rPr>
          <w:b/>
        </w:rPr>
        <w:t>E. 6.3</w:t>
      </w:r>
    </w:p>
    <w:p>
      <w:r>
        <w:t>Was die persönlichen Interessen des Beschwerdeführers daran betrifft, ohne besondere Restriktionen in die Schweiz einreisen zu können, so geht er offenbar irrtümlicherweise davon aus, das Einreiseverbot gelte absolut und verunmögliche von vornherein jeglichen persönlichen Kontakt zu seinen Familienangehörigen namentlich seiner Schwester innerhalb der Schweiz. Gemäss Art. 67 Abs. 5 in fine AuG kann die verfügende Behörde (also das BFM) das Einreiseverbot vorübergehend aufheben, wenn humanitäre oder andere wichtige Gründe bestehen. Hinsichtlich seines privaten Interesses an einem Studienaufenthalt gilt anzumerken, dass der Beschwerdeführer genügend Möglichkeiten hat ausserhalb des Schengen-Raumes eine Ausbildung zu absolvieren und er in dem Sinne nicht auf die hiesigen Einrichtungen angewiesen ist.</w:t>
      </w:r>
    </w:p>
    <w:p>
      <w:r>
        <w:rPr>
          <w:b/>
        </w:rPr>
        <w:t>E. 6.4</w:t>
      </w:r>
    </w:p>
    <w:p>
      <w:r>
        <w:t>Eine wertende Gewichtung der sich entgegenstehenden öffentlichen und privaten Interessen führt das Bundesverwaltungsgericht zum Schluss, dass das auf zwei Jahre befristete Einreiseverbot sowohl vom Grundsatz her als auch in Bezug auf seine Dauer eine verhältnismässige und angemessene Massnahme zum Schutze der öffentlichen Sicherheit und Ordnung darstellt. Sie entspricht auch der Praxis in vergleichbaren Fällen (vgl. anstelle vieler Urteile des Bundesverwaltungsgerichts C-1667/2010 vom 21. März 2011, C-6017/2010 vom 19. April 2011 und C-5458/2010 vom 3. November 2011).</w:t>
      </w:r>
    </w:p>
    <w:p>
      <w:r>
        <w:rPr>
          <w:b/>
        </w:rPr>
        <w:t>E. 7</w:t>
      </w:r>
    </w:p>
    <w:p>
      <w:r>
        <w:t>Aus vorstehenden Erwägungen ergibt sich, dass die angefochtene Verfügung Bundesrecht nicht verletzt und den rechtserheblichen Sachverhalt richtig und vollständig feststellt; sie ist auch angemessen (Art. 49 VwVG). Die Be­schwerde ist daher abzuweisen. Entsprechend dem Ausgang des Verfahrens sind dem Beschwerdeführer die Kosten aufzuerlegen (Art. 63 Abs. 1 VwVG i.V.m. Art. 1, Art. 2 und Art. 3 Bst. b des Reglements vom 21. Februar 2008 über die Kosten und Entschädigungen vor dem Bundesverwaltungsgericht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