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C-6828/2007 vom 27. März 2009</w:t>
      </w:r>
    </w:p>
    <w:p>
      <w:r>
        <w:t>Bundesverwaltungsgericht, 2009-03-27, FR</w:t>
      </w:r>
    </w:p>
    <w:p>
      <w:r>
        <w:rPr>
          <w:b/>
        </w:rPr>
        <w:t xml:space="preserve">Quelle: </w:t>
      </w:r>
      <w:r>
        <w:t>https://mcp.opencaselaw.ch/entscheid/bvger_C-6828_2007</w:t>
      </w:r>
    </w:p>
    <w:p>
      <w:r>
        <w:t>FR: TAF C-6828/2007 du 27 mars 2009</w:t>
      </w:r>
    </w:p>
    <w:p>
      <w:r>
        <w:t>IT: TAF C-6828/2007 del 27 marzo 2009</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du 17 juin 2005 sur le Tribunal administratif fédéral (LTAF, RS 173.32), celui-ci connaît , en vertu de l'art. 31 LTAF,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S'agissant du droit applicable, il convient encore de préciser que la présente procédure est régie par la LAI et par son règlement d'exécution dans leur teneur en vigueur jusqu'au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En vertu de l'art. 28 al. 2bis LAI, en dérogation à l'art. 16 LPGA, l'invalidité des assurés qui n'exercent pas d'activité lucrative est évaluée en fonction de l'incapacité d'accomplir leurs travaux habituels. L'invalidité dans ces travaux doit être évaluée par comparaison des activités (art. 27 RAI ; méthode spécifique) et est déterminée, en règle générale, au moyen d'une enquête économique sur place (VSI 2001 p. 158 consid. 3c. L'incapacité de travail correspondra alors à la diminution - attestée médicalement - du rendement fonctionnel dans l'accomplissement des travaux habituels.</w:t>
      </w:r>
    </w:p>
    <w:p>
      <w:r>
        <w:rPr>
          <w:b/>
        </w:rPr>
        <w:t>E. 6.2</w:t>
      </w:r>
    </w:p>
    <w:p>
      <w:r>
        <w:t>Le choix de la méthode d'évaluation de l'invalidité (méthode générale de la comparaison des revenus, méthode mixte, méthode spécifique) dépendra du statut de l'assuré qui soit exerce une activité lucrative à temps complet, soit exerce une activité lucrative à temps partiel, soit n'a aucune activité. Le classement de l'assuré dans l'un ou l'autre de ces statuts dépendra de ce qu'il aurait fait s'il n'y avait pas eu une atteinte à la santé ceteris paribus sic stantibus. Pour ce faire, il convient de prendre en considération l'évolution de la situation jusqu'au prononcé de la décision entreprise, en admettant la reprise hypothétique d'une activité lucrative partielle ou complète, si cette éventualité présente un degré de vraisemblance prépondérante (ATF, 129 V 150 consid 2.1 et les références citées).</w:t>
      </w:r>
    </w:p>
    <w:p>
      <w:r>
        <w:rPr>
          <w:b/>
        </w:rPr>
        <w:t>E. 6.3</w:t>
      </w:r>
    </w:p>
    <w:p>
      <w:r>
        <w:t>Lorsque l'assuré ne doit pas être considéré comme une personne exerçant une activité à temps plein (méthode générale), il convient encore de déterminer la part consacrée aux travaux habituels dans le ménage par rapport à celle de l'activité lucrative. La part de l'activité lucrative est, dans ce cas, déterminé en comparant en percentile l'horaire usuel dans la profession en question à l'horaire effectivement accompli; la part des travaux habituels constitue le reste du pourcentage. L'invalidité est déterminée, d'une part, par comparaison des activités selon l'art. 27 RAI (travaux habituels) et, d'autre part, par comparaison des revenus selon l'art. 28 al. 2 LAI (activité lucrative), l'invalidité globale étant déterminée pro rata temporis de chacune des parts.</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la décision litigieuse se fonde essentiellement sur les prises de position du Dr D._______ du SMR lequel se réfère à son tour à un courrier qu'aurait adressé le 10 octobre 2006 le Dr C._______ au Dr B._______ l'assurant de ce que la recourante "va bien, qu'il n'y a pas de plainte fonctionnelle, l'examen clinique des deux seins est normal, la mobilité de l'épaule droite est satisfaisante, il n'y a pas de lymphoedème, les aires ganglionnaires axillaires et sus claviculaires sont libres". Or, un examen attentif de ce document révèle qu'il n'est pas daté du 10 octobre 2006, mais du 4 janvier 2006. En effet, le Dr B._______ a vraisemblablement imprimé le dossier médical de sa cliente sur son propre papier à entête et la date du 10 octobre 2006 est celle du tirage et non celle de la correspondance échangée avec le Dr C._______. La lecture complète du document le confirme, chaque position médicale étant précédée de la date de rédaction et du nom du médecin concerné (cf. pce 31). Cette précision au sujet de la chronologie a son importance puisque le même Dr B._______ diagnostique dans son rapport médical du 23 juin 2006 un lymphoedème qui n'existait pas précédemment selon la note du Dr C._______ du 4 janvier 2006 sans que l'on sache s'il existait encore au moment de la décision litigieuse.</w:t>
      </w:r>
    </w:p>
    <w:p>
      <w:r>
        <w:rPr>
          <w:b/>
        </w:rPr>
        <w:t>E. 8.2</w:t>
      </w:r>
    </w:p>
    <w:p>
      <w:r>
        <w:t>Aucune expertise concernant des observations claires et des conclusions dûment motivées ne figure au dossier, pas plus qu'un stage d'observation afin de déterminer la réelle capacité résiduelle de travail de la recourante n'a été mise en oeuvre. Les seuls médecins, en dehors du SMR, qui se déterminent au sujet de son aptitude au travail sont son médecin traitant, le Dr B._______ qui se prononce en faveur d'une limitation à 40% (50% de 80%) de son actuelle activité lucrative en faisant valoir d'abord un lymphoedème (pce 21), puis des lombalgies (pce TAF) et le Dr C._______ qui a rédigé un certificat à la demande de la recourante dans lequel il préconise un mi-temps thérapeutique. Ces avis ne sont pas convaincants. En effet, ils ne sont pas étayés par des observations médicales objectives ni ne reposent sur un diagnostic posé lege artis. De plus, selon la jurisprudence relative aux rapports établis par le médecin traitant, le juge peut et doit tenir compte du fait que selon l'expérience, celui-ci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même si le simple fait qu'un certificat médical est établi à la demande d'une partie et produit pendant la procédure ne justifie pas en soi des doutes quant à sa valeur probante (ATF 125 V 353 consid. 3b/dd et les références citées). Il faut également noter que le temps partiel thérapeutique évoqué par le Dr C._______ est une notion de l'assurance-maladie française qui a pour objectif d'offrir une période de réadaptation progressive au travail en aménageant le temps de travail pendant une période maximale de six mois durant laquelle l'employeur paye les heures effectivement travaillées et la Sécurité sociale compense la perte de revenu. Cela correspond en quelque sorte aux indemnités journalières perte de gain de l'assurance-maladie suisse lesquelles ont été visiblement épuisées dans le cas d'espèce au 1er février 2007.</w:t>
      </w:r>
    </w:p>
    <w:p>
      <w:r>
        <w:rPr>
          <w:b/>
        </w:rPr>
        <w:t>E. 9.1</w:t>
      </w:r>
    </w:p>
    <w:p>
      <w:r>
        <w:t>En définitive, en l'état du dossier, le tableau clinique n'est pas très clair au sujet d'éventuelles séquelles invalidantes consécutives à la tumorectomie et au traitement chimiothérapeutique; en effet, les éléments recueillis ne permettent pas à la Cour de céans de se rallier aux conclusions de l'autorité intimée et de son service médical.</w:t>
      </w:r>
    </w:p>
    <w:p>
      <w:r>
        <w:rPr>
          <w:b/>
        </w:rPr>
        <w:t>E. 9.2</w:t>
      </w:r>
    </w:p>
    <w:p>
      <w:r>
        <w:t>Partant, il y a lieu d'annuler la décision du 10 septembre 2007 et de renvoyer la cause à l'autorité inférieure afin qu'elle complète le dossier médical et organise au besoin un stage d'observation ainsi qu'une nouvelle enquête ménagère afin de déterminer la capacité de travail résiduelle de la recourante, tant dans sa profession que dans ses travaux habituels. A ce sujet, le TAF constate que la recourante ne conteste ni le choix ni l'application de la méthode mixte par l'autorité intimée, laquelle a correctement déterminé la part consacrée aux travaux habituels dans le ménage (0,2) par rapport à celle de l'activité lucrative (0,8).</w:t>
      </w:r>
    </w:p>
    <w:p>
      <w:r>
        <w:rPr>
          <w:b/>
        </w:rPr>
        <w:t>E. 10.1</w:t>
      </w:r>
    </w:p>
    <w:p>
      <w:r>
        <w:t>Il n'y a pas lieu de percevoir de frais de procédure (art. 63 al. 1 et 2 PA). En conséquence, l'avance de frais de Fr. 400.-- déjà versée par la recourante lui sera restituée sur le compte bancaire qu'elle aura désigné, une fois la décision entrée en force.</w:t>
      </w:r>
    </w:p>
    <w:p>
      <w:r>
        <w:rPr>
          <w:b/>
        </w:rPr>
        <w:t>E. 10.2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(art. 9 al. 1 du règlement du 21 février 2008 concernant les frais, dépens et indemnités fixés par le Tribunal administratif fédéral [FITAF, RS 173.320.2] ), et il n'est pas démontré qu'elle a subi de ce fait des frais considérables. Partant, il ne lui est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