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C-6815/2009 vom 15. Februar 2011</w:t>
      </w:r>
    </w:p>
    <w:p>
      <w:r>
        <w:t>Bundesverwaltungsgericht, 2011-02-15, DE</w:t>
      </w:r>
    </w:p>
    <w:p>
      <w:r>
        <w:rPr>
          <w:b/>
        </w:rPr>
        <w:t xml:space="preserve">Quelle: </w:t>
      </w:r>
      <w:r>
        <w:t>https://mcp.opencaselaw.ch/entscheid/bvger_C-6815_2009</w:t>
      </w:r>
    </w:p>
    <w:p>
      <w:r>
        <w:t>FR: TAF C-6815/2009 du 15 février 2011</w:t>
      </w:r>
    </w:p>
    <w:p>
      <w:r>
        <w:t>IT: TAF C-6815/2009 del 15 febbraio 2011</w:t>
      </w:r>
    </w:p>
    <w:p>
      <w:pPr>
        <w:pStyle w:val="Heading2"/>
      </w:pPr>
      <w:r>
        <w:t>Regeste</w:t>
      </w:r>
    </w:p>
    <w:p>
      <w:r>
        <w:t>Rentenanspruch</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eidge­nössische IV-Stelle für Versicherte im Ausland (IVSTA)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Angefochten ist eine Verfügung der IVSTA.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 Als Adressatin der angefochtenen Verfügung ist die Beschwer­de­führerin davon berührt und sie hat ein schutzwürdiges Interesse an deren Auf­hebung oder Än­derung (Art. 59 ATSG). Die Beschwerde wurde fristgerecht bei der Vorinstanz, welche sie an das zuständige Gericht weiterleitete, eingereicht (vgl. Art. 30, Art. 38 ff. und Art. 60 ATSG). Aufgrund der Beschwerdeverbesserung entspricht sie den formellen Anforderungen gemäss Art. 52 Abs. 1 VwVG. Da auch der Kostenvorschuss fristgerecht bezahlt wurde, ist auf die Beschwerde einzutreten.</w:t>
      </w:r>
    </w:p>
    <w:p>
      <w:r>
        <w:rPr>
          <w:b/>
        </w:rPr>
        <w:t>E. 3</w:t>
      </w:r>
    </w:p>
    <w:p>
      <w:r>
        <w:t>Zunächst sind die für die Beurteilung des Anspruchs massgebenden gesetzlichen Grundlagen und die von der Rechtsprechung entwickelten Grundsätze dazulegen.</w:t>
      </w:r>
    </w:p>
    <w:p>
      <w:r>
        <w:rPr>
          <w:b/>
        </w:rPr>
        <w:t>E. 3.1</w:t>
      </w:r>
    </w:p>
    <w:p>
      <w:r>
        <w:t>Nach der Rechtsprechung stellt das Sozialversicherungsgericht bei der Beurteilung einer Streitsache in der Regel auf den bis zum Zeitpunkt des Erlasses der streitigen Verwaltungsverfügung (hier: 12. August 2008) eingetretenen Sachverhalt ab (BGE 129 V 1 E. 1.2 mit Hinweis). Tatsachen, die jenen Sachverhalt seither verändert haben, sollen im Normalfall Gegenstand einer neuen Verwaltungsverfügung sein (BGE 121 V 362 E. 1b).</w:t>
      </w:r>
    </w:p>
    <w:p>
      <w:r>
        <w:rPr>
          <w:b/>
        </w:rPr>
        <w:t>E. 3.2</w:t>
      </w:r>
    </w:p>
    <w:p>
      <w:r>
        <w:t>Die Frage, ob und gegebenenfalls ab wann Anspruch auf Leistungen der schweizerischen Invalidenversicherung besteht, bestimmt sich allein aufgrund der schweizerischen Rechtsvorschriften. Für die Beurteilung eines Rentenanspruchs sind daher die Feststellungen des ausländischen Versicherungsträgers bezüglich Invaliditätsgrad und Anspruchsbeginn für die rechtsanwendenden Behörden in der Schweiz nicht verbindlich (vgl. BGE 130 V 253 E. 2.4; AHI-Praxis 1996 S. 177 E. 1).</w:t>
      </w:r>
    </w:p>
    <w:p>
      <w:r>
        <w:rPr>
          <w:b/>
        </w:rPr>
        <w:t>E. 3.3</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Urteil des Bundesgerichts [BGer] 8C_419/2009 vom 3. November 2009), ist der Leistungsanspruch für die Zeit bis zum 31. Dezember 2007 aufgrund der bisherigen und ab diesem Zeitpunkt nach den neuen Normen zu prüfen (BGE 130 V 445). Die 5. IV-Revision brachte für die Invaliditätsbemessung keine sub­stanziellen Änderungen gegenüber der bis zum 31. Dezember 2007 gültig gewesenen Rechtslage, so dass die zur altrechtlichen Regelung ergangene Rechtsprechung weiterhin massgebend ist (vgl. Urteil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(vgl. Urteil BGer 8C_419/2009 vom 3. November 2009 E. 3.2 f., Urteil BGer 8C_312/2009 vom 1. Dezember 2009 E. 5; Rundschreiben Nr. 253 des Bundesamtes für Sozialversicherungen vom 12. Dezember 2007 [5. IV-Revision und Intertemporalrecht]). Im vor­liegenden Verfahren finden demnach grundsätzlich jene Vor­schriften Anwendung, die bei Ein­tritt des (allfälligen) Versicherungsfalles, spätestens jedoch bei Erlass der Verfü­gung vom 12. August 2008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Hinsichtlich des Zeitpunkts des Rentenbeginns gilt das alte Recht, da vorliegend der (allfällige) Versicherungsfall vor dem 1. Januar 2008 eingetreten ist und sich die Beschwerdeführerin vor dem 31. De­zember 2008 angemeldet hat.</w:t>
      </w:r>
    </w:p>
    <w:p>
      <w:r>
        <w:rPr>
          <w:b/>
        </w:rPr>
        <w:t>E. 3.4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w:t>
      </w:r>
    </w:p>
    <w:p>
      <w:r>
        <w:t>Die Annahme eines psychischen Gesundheitsschadens setzt zunächst eine fachärztlich (psychiatrisch) gestellte Diagnose nach einem wissenschaftlich anerkannten Klassifikationssystem voraus. Nach der Rechtsprechung vermögen indes Störungen, die zu den sogenannten pathogenetisch-ätiologisch unklaren syndromalen Beschwerdebildern ohne nachweisbare organi­sche Grundlage (namentlich somatoforme Schmerzstörungen, Fibromyalgie, Neurasthenie und Chronic Fatigue Syndrom) gehören, nur ausnahmsweise eine Invalidität zu begründen. Vielmehr besteht eine Vermutung, dass solche Störungen oder ihre Folgen mit einer zumutbaren Willensanstrengung überwindbar sind (BGE 131 V 49 E. 1.2, BGE 130 V 352, Urteil BGer I 70/07 vom 14. April 2008 E. 5, BGE 132 V 65).</w:t>
      </w:r>
    </w:p>
    <w:p>
      <w:r>
        <w:rPr>
          <w:b/>
        </w:rPr>
        <w:t>E. 3.6</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Nach der bis Ende Dezember 2007 in Kraft gestandenen Fassung des Art. 29 Abs. 1 IVG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Der im Regelfall anwendbare Art. 29 Abs. 1 Bst. b IVG (vgl. BGE 119 V 98 E. 4a mit Hinweisen) setzt voraus, dass sowohl eine Arbeitsunfähigkeit als auch eine Erwerbsunfähigkeit in anspruchser­heblichem Umfang vorliegen (vgl. BGE 121 V 264 E. 6b/cc).</w:t>
      </w:r>
    </w:p>
    <w:p>
      <w:r>
        <w:rPr>
          <w:b/>
        </w:rPr>
        <w:t>E. 3.7</w:t>
      </w:r>
    </w:p>
    <w:p>
      <w:r>
        <w:t>Bei einem Invaliditätsgrad von mindestens 40 % besteht Anspruch auf eine Viertelsrente, bei mindestens 50 % auf eine halbe Rente, bei mindestens 60 % auf eine Dreiviertelsrente und bei mindestens 70 % auf eine ganze Rente (Art. 28 Abs. 2 IVG [in der seit 1. Januar 2008 gültigen Fassung], Art. 28 Abs. 1 IVG [in der ab 1. Januar 2004 bis 31. Dezember 2007 gültigen Fassung]). Beträgt der Invaliditätsgrad weniger als 50 %, so werden die entspre­chenden Renten nur an Versicherte ausbezahlt, die ihren Wohnsitz und ihren gewöhnlichen Aufenthalt (Art. 13 ATSG) in der Schweiz haben (Art. 29 Abs. 4 IVG [in der seit 1. Januar 2008 gültigen Fassung], Art. 28 Abs. 1ter IVG [in der bis 31. Dezember 2007 gültigen Fassung]). Diese Einschränkung gilt jedoch nicht für die Staatsangehörigen eines Mitglied­staates der Europäischen Gemeinschaft und der Schweiz, sofern sie in einem Mitgliedstaat der Europäischen Gemeinschaft Wohnsitz haben (siehe BGE 130 V 253 E. 2.3 und E. 3.1).</w:t>
      </w:r>
    </w:p>
    <w:p>
      <w:r>
        <w:rPr>
          <w:b/>
        </w:rPr>
        <w:t>E. 3.8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w:t>
      </w:r>
    </w:p>
    <w:p>
      <w:r>
        <w:rPr>
          <w:b/>
        </w:rPr>
        <w:t>E. 3.9</w:t>
      </w:r>
    </w:p>
    <w:p>
      <w:r>
        <w:t>Die IV-Stelle prüft die Begehren, nimmt die notwendigen Abklä­rungen von Amtes wegen vor und holt die erforderlichen Auskünfte ein (Art. 43 Abs. 1 ATSG, Art. 57 Abs. 3 IVG). Zur Beurteilung der medizinischen Voraussetzungen des Leistungsanspruchs stehen den IV-Stellen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w:t>
      </w:r>
    </w:p>
    <w:p>
      <w:r>
        <w:rPr>
          <w:b/>
        </w:rPr>
        <w:t>E. 4</w:t>
      </w:r>
    </w:p>
    <w:p>
      <w:r>
        <w:t>Streitig und in einem ersten Schritt zu prüfen ist, ob und in welchem Umfang die Beschwerdeführerin arbeitsunfähig ist. Die australischen Ärzte attestieren der Beschwerdeführerin - im Unterschied zum RAD - eine vollständige Arbeitsunfähigkeit.</w:t>
      </w:r>
    </w:p>
    <w:p>
      <w:r>
        <w:rPr>
          <w:b/>
        </w:rPr>
        <w:t>E. 4.1</w:t>
      </w:r>
    </w:p>
    <w:p>
      <w:r>
        <w:t>Im Beschwerdeverfahren kann auf die Stellungnahmen des RAD abgestellt werden, wenn diese den allgemeinen beweisrechtlichen Anforderungen an einen ärztlichen Bericht genügen. Für RAD-Berichte von besonderer Bedeutung ist, dass diese in Kenntnis der Vorakten abgegeben wurden, in der Beschreibung der medizinischen Situation und Zusammenhänge einleuchten sowie begründete Schlussfolgerungen enthalten. Zudem müssen die Ärztinnen und Ärzte des RAD über die im Einzelfall gefragten persönlichen und fachlichen Qualifikationen verfügen (Urteil BGer 9C_323/2009 vom 14. Juli 2009 E. 4.3.1 mit Hinweis auf BGE 125 V 351 E. 3a, Urteil BGer 9C_904/2009 vom 7. Juni 2010 E. 2.2).</w:t>
      </w:r>
    </w:p>
    <w:p>
      <w:r>
        <w:rPr>
          <w:b/>
        </w:rPr>
        <w:t>E. 4.1.1</w:t>
      </w:r>
    </w:p>
    <w:p>
      <w:r>
        <w:t>In ihrer Stellungnahme vom 3. April 2008 (IV-Akt. 25) führte die RAD-Ärztin zunächst aus, die Versicherte sei seit dem 8. Dezember 2004 in Australien berentet. Sie habe 80 Stunden pro Woche in einem Altersheim gearbeitet, wobei sie Büro- und Putzarbeiten ausgeführt sowie gekocht habe. Wegen einer Knieoperation sei sie ab dem 5. Dezember 2004 arbeitsunfähig gewesen. Ihre Stellungnahme stützte sie auf das Attest von Dr. F._______ vom 29. November 2007(M._______ Medical Centre; IV-Akt. 18) sowie verschiedene radiologische Untersuchungen (beide Knie und Wirbelsäule) und Laboruntersuchungen (vom 14. März und 20. Juni 2003 [IV-Akt. 17], 26. Januar 2008 [IV-Akt. 19], 6. Dezember 2007 [IV-Akt. 21], 20. Dezember 2007 [IV-Akt. 22]). Gemäss der Dokumentation bestünden degenerative Läsionen der Wirbelsäule und des rechten Knies. Da keine klinische Beschreibung und Untersuchungsbefunde vorlägen, könne nicht ausgeschlossen werden, dass die Versicherte asymptomatisch sei. Eine längerfristige Arbeitsunfähigkeit könne dadurch nicht begründet werden. Die Medikation deute auf eine Schmerzproblematik hin. Mit Ausnahme von schweren Hebeleistungen, Planungs- und Supervisionsarbeiten seien alle früher ausgeübten Tätigkeiten weiterhin zumutbar.</w:t>
      </w:r>
    </w:p>
    <w:p>
      <w:r>
        <w:rPr>
          <w:b/>
        </w:rPr>
        <w:t>E. 4.1.2</w:t>
      </w:r>
    </w:p>
    <w:p>
      <w:r>
        <w:t>Nachdem die Versicherte im Vorbescheidverfahren zwei weitere Kurz-Atteste (von Dr. G._______ und Dr. F._______) eingereicht hatte (IV-Akt. 27-29), hielt die RAD-Ärztin in ihrer Stellungnahme vom 7. August 2008 fest, Dr. F._______ führe neu die Diagnose einer Depression auf, jedoch ohne weitere Angaben über Schweregrad, Medikation und Beschreibung der Auswirkungen. Da Dr. G._______, dessen Zeugnis ein Tag später datiere, in keiner Weise eine depressive Problematik erwähne, sei es wenig wahrscheinlich, dass eine ausgeprägte, protrahierte, schwere Depression vorliege. Sie halte daher an ihrer Beurteilung vom April 2008 fest (IV-Akt. 32).</w:t>
      </w:r>
    </w:p>
    <w:p>
      <w:r>
        <w:rPr>
          <w:b/>
        </w:rPr>
        <w:t>E. 4.1.3</w:t>
      </w:r>
    </w:p>
    <w:p>
      <w:r>
        <w:t>Im Beschwerdeverfahren wurden weitere medizinische Unterlagen eingereicht (Akt. 7 und 4), insbesondere der Bericht von Dr. D._______, Consultant Psychiatrist, vom 12. September 2008 sowie eine Bestätigung von Dr. H._______, Consultant Psychiatrist, vom 3. März 2009. Dr. H._______ bestätigte, er sei vom 17. Februar 2005 bis 10. Oktober 2006 behandelnder Psychiater gewesen. Die Beschwerdeführerin habe an einer depressiven Störung gelitten und sei nach seiner Einschätzung während dieser Zeit arbeitsunfähig gewesen. Dr. D._______ diagnostizierte eine chronische depressive Erkrankung (Dysthymie), welche sich in den letzten Jahren in Zusammenhang mit den chronischen Schmerzen und weiteren medizinischen Problemen verschlechtert habe. Sie sei arbeits­unfähig.</w:t>
      </w:r>
    </w:p>
    <w:p>
      <w:r>
        <w:rPr>
          <w:b/>
        </w:rPr>
        <w:t>E. 4.1.4</w:t>
      </w:r>
    </w:p>
    <w:p>
      <w:r>
        <w:t>Am 26. Juni 2009 nahm der RAD-Arzt Dr. med. I._______, Facharzt für Psychiatrie und Psychotherapie, aus psychiatrischer Sicht Stellung (IV-Akt. 39 [Anhang]). Er führte im Wesentlichen aus, die diagnostischen Einschätzungen von Dr. D._______ seien nachvollziehbar begründet. Eine Dysthymie gehe zwar einher mit einer chronisch depressiven Verstimmung, welche jedoch nicht den Schweregrad einer rezidivierenden depressiven Störung erreiche. Entscheidend sei, dass die Betroffenen in der Regel den wesentlichen Anforderungen des täglichen Lebens gerecht werden könnten. Die Ausübung einer beruflichen Tätigkeit sei daher weiterhin möglich. Auf die Frage der RAD-Ärztin, Dr. C._______, ob die Akten eine Arbeitsunfähigkeit für die Zeit von Februar 2005 bis Oktober 2006 begründen, führte er Folgendes aus: Im eigentlichen Sinne begründet werde die Arbeitsunfähigkeit im Bericht von Dr. H._______ nicht. Es fehlten bspw. eine Beschreibung der Beschwerdesymptomatik, ein psychiatrischer Befund, diagnostische Überlegungen sowie Aussagen zu Therapie und Verlauf. Man könne sich somit nur darauf verlassen, dass die Einschätzung und Beurteilung von Dr. H._______ zutreffend seien.</w:t>
      </w:r>
    </w:p>
    <w:p>
      <w:r>
        <w:rPr>
          <w:b/>
        </w:rPr>
        <w:t>E. 4.2</w:t>
      </w:r>
    </w:p>
    <w:p>
      <w:r>
        <w:t>Weshalb sich Dr. I._______ dennoch der Einschätzung von Dr. C._______ (Stellungnahme vom 17. Juni 2009, IV-Akt. 39) anschloss, wonach für die Zeit von Februar 2005 bis Oktober 2006 eine vollständige Arbeitsunfähigkeit bestanden habe, wird nicht weiter begründet bzw. ist aufgrund der soeben zitierten Ausführungen nicht nachvollziehbar. Die vom RAD-Arzt angeführten Mängel zeigen vielmehr deutlich, dass die Bestätigung von Dr. H._______ in keiner Weise den Anforderungen an eine beweiskräftige Expertise (vgl. E. 3.8) entspricht. Aufgrund der Akten erscheint es zwar als möglich, dass die Beschwerdeführerin ab Februar 2005 arbeitsunfähig war. Der Sachverhalt lässt sich jedoch nicht mit dem erforderlichen Beweisgrad der überwiegenden Wahrscheinlichkeit (vgl. BGE 126 V 353 E. 5b) feststellen. Gleiches gilt im Übrigen, sofern die vom RAD bis Oktober 2006 attestierte Arbeitsunfähigkeit tatsächlich besteht, auch für eine allfällige Verbesserung des Gesundheitszustandes bzw. der Arbeitsfähig­keit (vgl. zur analogen Anwendung der für die Rentenrevision geltenden Bestimmungen bei einer rückwirkend befristet zugesprochenen Rente BGE 133 V 263 E. 6.1 mit Hinweisen).</w:t>
      </w:r>
    </w:p>
    <w:p>
      <w:r>
        <w:rPr>
          <w:b/>
        </w:rPr>
        <w:t>E. 4.3</w:t>
      </w:r>
    </w:p>
    <w:p>
      <w:r>
        <w:t>Die Sache ist daher zur Vornahme ergänzender Abklärungen in medizinischer (insbesondere psychiatrischer) Hinsicht an die Vorinstanz zurückzuweisen. Dabei wird die IVSTA auch zu berücksichtigen haben, dass die Beschwerdeführerin gemäss der nachgereichten Stellungnahme von Dr. E._______, V._______, vom 8. Februar 2010 (Akt. 36), die der Vorinstanz mit vorliegendem Urteil zur Kenntnisnahme zuzustellen ist, seit 2004 an einer schweren Fibromyalgie leidet.</w:t>
      </w:r>
    </w:p>
    <w:p>
      <w:r>
        <w:rPr>
          <w:b/>
        </w:rPr>
        <w:t>E. 4.3.1</w:t>
      </w:r>
    </w:p>
    <w:p>
      <w:r>
        <w:t>Nach der Rechtsprechung kann eine Fibromyalgie nur - aber immerhin - ausnahmsweise eine Invalidität bewirken.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können auch weitere Faktoren sein, dazu gehören insbesondere: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Je mehr dieser Kriterien zutreffen und je ausgeprägter sich die entsprechenden Befunde darstellen, desto eher sind - ausnahmsweise - die Voraussetzungen für eine zumutbare Willensanstrengung zu verneinen (BGE 131 V 49 E. 1.2).</w:t>
      </w:r>
    </w:p>
    <w:p>
      <w:r>
        <w:rPr>
          <w:b/>
        </w:rPr>
        <w:t>E. 4.3.2</w:t>
      </w:r>
    </w:p>
    <w:p>
      <w:r>
        <w:t>Aufgrund der Akten kann nicht ausgeschlossen werden, dass vorliegend einzelne Kriterien, welche gegen die Überwindbarkeit der Störung und ihrer Auswirkungen sprechen, erfüllt sind. In der Beschwerde vom 22. September 2008 machte der Ehemann beispielsweise geltend, seine Ehefrau wolle keinen Kontakt zu anderen Leuten, gehe nur noch ungern und zudem nur in seiner Begleitung aus dem Haus. Zudem wird genauer zu prüfen sein, ob die diagnostizierte depressive Störung als psychische Komorbidität von erheblicher Schwere im Sinne der Rechtsprechung zu qualifizieren ist.</w:t>
      </w:r>
    </w:p>
    <w:p>
      <w:r>
        <w:rPr>
          <w:b/>
        </w:rPr>
        <w:t>E. 4.4</w:t>
      </w:r>
    </w:p>
    <w:p>
      <w:r>
        <w:t>Die Beschwerde ist demnach in dem Sinne gutzuheissen, dass die angefochtene Verfügung aufzuheben und die Sache zur weiteren Abklärung im Sinne der Erwägungen und Erlass einer neuen Verfügung an die Vorinstanz zurückzuweisen ist. Der Antrag der Vorinstanz auf teilweise Gutheissung der Beschwerde wird damit gegenstandslos.</w:t>
      </w:r>
    </w:p>
    <w:p>
      <w:r>
        <w:rPr>
          <w:b/>
        </w:rPr>
        <w:t>E. 5</w:t>
      </w:r>
    </w:p>
    <w:p>
      <w:r>
        <w:t>Bei diesem Ausgang des Verfahrens sind keine Verfahrenskosten zu erheben (vgl. Art. 63 Abs. 1 und 2 VwVG). Der Beschwerdeführerin wird der Kostenvorschuss nach Eintritt der Rechtskraft des vorliegenden Urteils zurückerstattet. Da der nicht anwaltlich vertretenen Beschwerdeführerin keine unverhältnismässig hohe Kosten entstanden sind, ist von der Zusprechung einer Parteientschädigung abzusehen (vgl. Art. 64 Abs. 1 VwVG,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